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after="1"/>
        <w:rPr>
          <w:rFonts w:ascii="Times New Roman"/>
          <w:sz w:val="18"/>
        </w:rPr>
      </w:pPr>
    </w:p>
    <w:p>
      <w:pPr>
        <w:pStyle w:val="BodyText"/>
        <w:ind w:left="4920"/>
        <w:rPr>
          <w:rFonts w:ascii="Times New Roman"/>
          <w:sz w:val="20"/>
        </w:rPr>
      </w:pPr>
      <w:r>
        <w:rPr>
          <w:rFonts w:ascii="Times New Roman"/>
          <w:sz w:val="20"/>
        </w:rPr>
        <w:pict>
          <v:group style="width:153.450pt;height:44.55pt;mso-position-horizontal-relative:char;mso-position-vertical-relative:line" coordorigin="0,0" coordsize="3069,891">
            <v:rect style="position:absolute;left:0;top:0;width:3069;height:306" filled="true" fillcolor="#000000" stroked="false">
              <v:fill type="solid"/>
            </v:rect>
            <v:rect style="position:absolute;left:0;top:292;width:2866;height:306" filled="true" fillcolor="#000000" stroked="false">
              <v:fill type="solid"/>
            </v:rect>
            <v:rect style="position:absolute;left:0;top:585;width:1097;height:306" filled="true" fillcolor="#000000" stroked="false">
              <v:fill type="solid"/>
            </v:rect>
          </v:group>
        </w:pict>
      </w:r>
      <w:r>
        <w:rPr>
          <w:rFonts w:ascii="Times New Roman"/>
          <w:sz w:val="20"/>
        </w:rPr>
      </w:r>
    </w:p>
    <w:p>
      <w:pPr>
        <w:pStyle w:val="BodyText"/>
        <w:rPr>
          <w:rFonts w:ascii="Times New Roman"/>
          <w:sz w:val="20"/>
        </w:rPr>
      </w:pPr>
    </w:p>
    <w:p>
      <w:pPr>
        <w:pStyle w:val="BodyText"/>
        <w:rPr>
          <w:rFonts w:ascii="Times New Roman"/>
          <w:sz w:val="20"/>
        </w:rPr>
      </w:pPr>
    </w:p>
    <w:p>
      <w:pPr>
        <w:pStyle w:val="BodyText"/>
        <w:spacing w:before="8"/>
        <w:rPr>
          <w:rFonts w:ascii="Times New Roman"/>
          <w:sz w:val="20"/>
        </w:rPr>
      </w:pPr>
    </w:p>
    <w:p>
      <w:pPr>
        <w:pStyle w:val="BodyText"/>
        <w:spacing w:before="52"/>
        <w:ind w:left="121"/>
        <w:jc w:val="both"/>
      </w:pPr>
      <w:r>
        <w:rPr/>
        <w:pict>
          <v:rect style="position:absolute;margin-left:148.0401pt;margin-top:3.457874pt;width:153.3239pt;height:15.2518pt;mso-position-horizontal-relative:page;mso-position-vertical-relative:paragraph;z-index:1048" filled="true" fillcolor="#000000" stroked="false">
            <v:fill type="solid"/>
            <w10:wrap type="none"/>
          </v:rect>
        </w:pict>
      </w:r>
      <w:r>
        <w:rPr/>
        <w:t>Reclamante:</w:t>
      </w:r>
    </w:p>
    <w:p>
      <w:pPr>
        <w:spacing w:before="0"/>
        <w:ind w:left="121" w:right="0" w:firstLine="0"/>
        <w:jc w:val="both"/>
        <w:rPr>
          <w:b/>
          <w:sz w:val="24"/>
        </w:rPr>
      </w:pPr>
      <w:r>
        <w:rPr>
          <w:sz w:val="24"/>
        </w:rPr>
        <w:t>Expediente. Nº </w:t>
      </w:r>
      <w:r>
        <w:rPr>
          <w:b/>
          <w:sz w:val="24"/>
        </w:rPr>
        <w:t>RSCTG 0075/2017</w:t>
      </w:r>
    </w:p>
    <w:p>
      <w:pPr>
        <w:pStyle w:val="BodyText"/>
        <w:spacing w:before="9"/>
        <w:rPr>
          <w:b/>
          <w:sz w:val="22"/>
        </w:rPr>
      </w:pPr>
    </w:p>
    <w:p>
      <w:pPr>
        <w:pStyle w:val="BodyText"/>
        <w:ind w:left="121"/>
        <w:jc w:val="both"/>
      </w:pPr>
      <w:r>
        <w:rPr/>
        <w:pict>
          <v:rect style="position:absolute;margin-left:180.919998pt;margin-top:.857862pt;width:191.02530pt;height:15.2518pt;mso-position-horizontal-relative:page;mso-position-vertical-relative:paragraph;z-index:1072" filled="true" fillcolor="#000000" stroked="false">
            <v:fill type="solid"/>
            <w10:wrap type="none"/>
          </v:rect>
        </w:pict>
      </w:r>
      <w:r>
        <w:rPr/>
        <w:t>Correo electrónico:</w:t>
      </w:r>
    </w:p>
    <w:p>
      <w:pPr>
        <w:pStyle w:val="BodyText"/>
        <w:rPr>
          <w:sz w:val="23"/>
        </w:rPr>
      </w:pPr>
    </w:p>
    <w:p>
      <w:pPr>
        <w:pStyle w:val="Heading1"/>
        <w:ind w:right="106"/>
      </w:pPr>
      <w:bookmarkStart w:name="ASUNTO: Resolución da Comisión da Transp" w:id="1"/>
      <w:bookmarkEnd w:id="1"/>
      <w:r>
        <w:rPr>
          <w:b w:val="0"/>
        </w:rPr>
      </w:r>
      <w:r>
        <w:rPr/>
        <w:t>ASUNTO: Resolución da Comisión da Transparencia de Galicia na reclamación presentada ao</w:t>
      </w:r>
      <w:r>
        <w:rPr>
          <w:spacing w:val="-6"/>
        </w:rPr>
        <w:t> </w:t>
      </w:r>
      <w:r>
        <w:rPr/>
        <w:t>amparo</w:t>
      </w:r>
      <w:r>
        <w:rPr>
          <w:spacing w:val="-6"/>
        </w:rPr>
        <w:t> </w:t>
      </w:r>
      <w:r>
        <w:rPr/>
        <w:t>da</w:t>
      </w:r>
      <w:r>
        <w:rPr>
          <w:spacing w:val="-10"/>
        </w:rPr>
        <w:t> </w:t>
      </w:r>
      <w:r>
        <w:rPr/>
        <w:t>disposición</w:t>
      </w:r>
      <w:r>
        <w:rPr>
          <w:spacing w:val="-5"/>
        </w:rPr>
        <w:t> </w:t>
      </w:r>
      <w:r>
        <w:rPr/>
        <w:t>adicional</w:t>
      </w:r>
      <w:r>
        <w:rPr>
          <w:spacing w:val="-8"/>
        </w:rPr>
        <w:t> </w:t>
      </w:r>
      <w:r>
        <w:rPr/>
        <w:t>quinta</w:t>
      </w:r>
      <w:r>
        <w:rPr>
          <w:spacing w:val="-7"/>
        </w:rPr>
        <w:t> </w:t>
      </w:r>
      <w:r>
        <w:rPr/>
        <w:t>da</w:t>
      </w:r>
      <w:r>
        <w:rPr>
          <w:spacing w:val="-10"/>
        </w:rPr>
        <w:t> </w:t>
      </w:r>
      <w:r>
        <w:rPr/>
        <w:t>lei</w:t>
      </w:r>
      <w:r>
        <w:rPr>
          <w:spacing w:val="-8"/>
        </w:rPr>
        <w:t> </w:t>
      </w:r>
      <w:r>
        <w:rPr/>
        <w:t>1/2016,</w:t>
      </w:r>
      <w:r>
        <w:rPr>
          <w:spacing w:val="-9"/>
        </w:rPr>
        <w:t> </w:t>
      </w:r>
      <w:r>
        <w:rPr/>
        <w:t>do</w:t>
      </w:r>
      <w:r>
        <w:rPr>
          <w:spacing w:val="-8"/>
        </w:rPr>
        <w:t> </w:t>
      </w:r>
      <w:r>
        <w:rPr/>
        <w:t>18</w:t>
      </w:r>
      <w:r>
        <w:rPr>
          <w:spacing w:val="-8"/>
        </w:rPr>
        <w:t> </w:t>
      </w:r>
      <w:r>
        <w:rPr/>
        <w:t>de</w:t>
      </w:r>
      <w:r>
        <w:rPr>
          <w:spacing w:val="-7"/>
        </w:rPr>
        <w:t> </w:t>
      </w:r>
      <w:r>
        <w:rPr/>
        <w:t>xaneiro,</w:t>
      </w:r>
      <w:r>
        <w:rPr>
          <w:spacing w:val="-6"/>
        </w:rPr>
        <w:t> </w:t>
      </w:r>
      <w:r>
        <w:rPr/>
        <w:t>de</w:t>
      </w:r>
      <w:r>
        <w:rPr>
          <w:spacing w:val="-9"/>
        </w:rPr>
        <w:t> </w:t>
      </w:r>
      <w:r>
        <w:rPr/>
        <w:t>transparencia e bo goberno</w:t>
      </w:r>
    </w:p>
    <w:p>
      <w:pPr>
        <w:pStyle w:val="BodyText"/>
        <w:spacing w:before="12"/>
        <w:rPr>
          <w:b/>
          <w:sz w:val="22"/>
        </w:rPr>
      </w:pPr>
    </w:p>
    <w:p>
      <w:pPr>
        <w:pStyle w:val="BodyText"/>
        <w:tabs>
          <w:tab w:pos="7412" w:val="left" w:leader="none"/>
        </w:tabs>
        <w:ind w:left="121" w:right="108"/>
        <w:jc w:val="both"/>
      </w:pPr>
      <w:r>
        <w:rPr/>
        <w:pict>
          <v:rect style="position:absolute;margin-left:293.957611pt;margin-top:.857978pt;width:154.7663pt;height:15.2517pt;mso-position-horizontal-relative:page;mso-position-vertical-relative:paragraph;z-index:-4576" filled="true" fillcolor="#000000" stroked="false">
            <v:fill type="solid"/>
            <w10:wrap type="none"/>
          </v:rect>
        </w:pict>
      </w:r>
      <w:r>
        <w:rPr/>
        <w:t>En resposta á reclamación</w:t>
      </w:r>
      <w:r>
        <w:rPr>
          <w:spacing w:val="22"/>
        </w:rPr>
        <w:t> </w:t>
      </w:r>
      <w:r>
        <w:rPr/>
        <w:t>presentada</w:t>
      </w:r>
      <w:r>
        <w:rPr>
          <w:spacing w:val="2"/>
        </w:rPr>
        <w:t> </w:t>
      </w:r>
      <w:r>
        <w:rPr/>
        <w:t>por</w:t>
        <w:tab/>
        <w:t>, mediante escrito do 20 de xullo de 2017, a Comisión da Transparencia, considerando os antecedentes e fundamentos xurídicos que se especifican a continuación, adopta a seguinte</w:t>
      </w:r>
      <w:r>
        <w:rPr>
          <w:spacing w:val="-15"/>
        </w:rPr>
        <w:t> </w:t>
      </w:r>
      <w:r>
        <w:rPr/>
        <w:t>resolución:</w:t>
      </w:r>
    </w:p>
    <w:p>
      <w:pPr>
        <w:pStyle w:val="BodyText"/>
        <w:spacing w:before="11"/>
        <w:rPr>
          <w:sz w:val="22"/>
        </w:rPr>
      </w:pPr>
    </w:p>
    <w:p>
      <w:pPr>
        <w:pStyle w:val="Heading1"/>
      </w:pPr>
      <w:bookmarkStart w:name="ANTECEDENTES" w:id="2"/>
      <w:bookmarkEnd w:id="2"/>
      <w:r>
        <w:rPr>
          <w:b w:val="0"/>
        </w:rPr>
      </w:r>
      <w:r>
        <w:rPr/>
        <w:t>ANTECEDENTES</w:t>
      </w:r>
    </w:p>
    <w:p>
      <w:pPr>
        <w:pStyle w:val="BodyText"/>
        <w:rPr>
          <w:b/>
          <w:sz w:val="23"/>
        </w:rPr>
      </w:pPr>
    </w:p>
    <w:p>
      <w:pPr>
        <w:pStyle w:val="BodyText"/>
        <w:tabs>
          <w:tab w:pos="4016" w:val="left" w:leader="none"/>
        </w:tabs>
        <w:ind w:left="121" w:right="108"/>
        <w:jc w:val="both"/>
      </w:pPr>
      <w:r>
        <w:rPr/>
        <w:pict>
          <v:rect style="position:absolute;margin-left:133.639999pt;margin-top:.857993pt;width:141.921600pt;height:15.2517pt;mso-position-horizontal-relative:page;mso-position-vertical-relative:paragraph;z-index:-4552" filled="true" fillcolor="#000000" stroked="false">
            <v:fill type="solid"/>
            <w10:wrap type="none"/>
          </v:rect>
        </w:pict>
      </w:r>
      <w:r>
        <w:rPr>
          <w:b/>
        </w:rPr>
        <w:t>Primeiro</w:t>
      </w:r>
      <w:r>
        <w:rPr/>
        <w:t>.</w:t>
        <w:tab/>
        <w:t>presentou, mediante escrito con entrada no rexistro do Valedor do Pobo o día 26 de xullo de 2017, unha reclamación ao amparo do disposto na disposición adicional quinta da Lei 1/2016, do 18 de xaneiro, de transparencia e bo goberno, por entender desatendida unha solicitude de acceso á información por parte do Concello de Nigrán.</w:t>
      </w:r>
    </w:p>
    <w:p>
      <w:pPr>
        <w:pStyle w:val="BodyText"/>
        <w:spacing w:before="12"/>
        <w:rPr>
          <w:sz w:val="22"/>
        </w:rPr>
      </w:pPr>
    </w:p>
    <w:p>
      <w:pPr>
        <w:pStyle w:val="BodyText"/>
        <w:ind w:left="121" w:right="108"/>
        <w:jc w:val="both"/>
      </w:pPr>
      <w:r>
        <w:rPr/>
        <w:t>O interesado indicaba que por escrito do 27 de xuño de 2017, presentado no Rexistro Xeral da Xunta de Galicia do edificio administrativo de Vigo, solicitou que se lle concedera día para acceder aos rexistros e documentos que formaran parte dos expedientes 14/00336 U e 08/0266 U, ambos relativos a actuacións urbanísticas relacionadas coa ampliación da casa consistorial e a modificación puntual nº 8 das Normas Subsidiarias do Concello de Nigrán.</w:t>
      </w:r>
    </w:p>
    <w:p>
      <w:pPr>
        <w:pStyle w:val="BodyText"/>
        <w:spacing w:before="11"/>
        <w:rPr>
          <w:sz w:val="22"/>
        </w:rPr>
      </w:pPr>
    </w:p>
    <w:p>
      <w:pPr>
        <w:pStyle w:val="BodyText"/>
        <w:ind w:left="121" w:right="109"/>
        <w:jc w:val="both"/>
      </w:pPr>
      <w:r>
        <w:rPr/>
        <w:t>O</w:t>
      </w:r>
      <w:r>
        <w:rPr>
          <w:spacing w:val="-4"/>
        </w:rPr>
        <w:t> </w:t>
      </w:r>
      <w:r>
        <w:rPr/>
        <w:t>escrito</w:t>
      </w:r>
      <w:r>
        <w:rPr>
          <w:spacing w:val="-3"/>
        </w:rPr>
        <w:t> </w:t>
      </w:r>
      <w:r>
        <w:rPr/>
        <w:t>viña</w:t>
      </w:r>
      <w:r>
        <w:rPr>
          <w:spacing w:val="-5"/>
        </w:rPr>
        <w:t> </w:t>
      </w:r>
      <w:r>
        <w:rPr/>
        <w:t>acompañado</w:t>
      </w:r>
      <w:r>
        <w:rPr>
          <w:spacing w:val="-3"/>
        </w:rPr>
        <w:t> </w:t>
      </w:r>
      <w:r>
        <w:rPr/>
        <w:t>de</w:t>
      </w:r>
      <w:r>
        <w:rPr>
          <w:spacing w:val="-4"/>
        </w:rPr>
        <w:t> </w:t>
      </w:r>
      <w:r>
        <w:rPr/>
        <w:t>copia</w:t>
      </w:r>
      <w:r>
        <w:rPr>
          <w:spacing w:val="-5"/>
        </w:rPr>
        <w:t> </w:t>
      </w:r>
      <w:r>
        <w:rPr/>
        <w:t>da</w:t>
      </w:r>
      <w:r>
        <w:rPr>
          <w:spacing w:val="-4"/>
        </w:rPr>
        <w:t> </w:t>
      </w:r>
      <w:r>
        <w:rPr/>
        <w:t>solicitude</w:t>
      </w:r>
      <w:r>
        <w:rPr>
          <w:spacing w:val="-5"/>
        </w:rPr>
        <w:t> </w:t>
      </w:r>
      <w:r>
        <w:rPr/>
        <w:t>de</w:t>
      </w:r>
      <w:r>
        <w:rPr>
          <w:spacing w:val="-3"/>
        </w:rPr>
        <w:t> </w:t>
      </w:r>
      <w:r>
        <w:rPr/>
        <w:t>acceso</w:t>
      </w:r>
      <w:r>
        <w:rPr>
          <w:spacing w:val="-3"/>
        </w:rPr>
        <w:t> </w:t>
      </w:r>
      <w:r>
        <w:rPr/>
        <w:t>á</w:t>
      </w:r>
      <w:r>
        <w:rPr>
          <w:spacing w:val="-5"/>
        </w:rPr>
        <w:t> </w:t>
      </w:r>
      <w:r>
        <w:rPr/>
        <w:t>información</w:t>
      </w:r>
      <w:r>
        <w:rPr>
          <w:spacing w:val="-5"/>
        </w:rPr>
        <w:t> </w:t>
      </w:r>
      <w:r>
        <w:rPr/>
        <w:t>pública</w:t>
      </w:r>
      <w:r>
        <w:rPr>
          <w:spacing w:val="-4"/>
        </w:rPr>
        <w:t> </w:t>
      </w:r>
      <w:r>
        <w:rPr/>
        <w:t>de</w:t>
      </w:r>
      <w:r>
        <w:rPr>
          <w:spacing w:val="-5"/>
        </w:rPr>
        <w:t> </w:t>
      </w:r>
      <w:r>
        <w:rPr/>
        <w:t>data</w:t>
      </w:r>
      <w:r>
        <w:rPr>
          <w:spacing w:val="-5"/>
        </w:rPr>
        <w:t> </w:t>
      </w:r>
      <w:r>
        <w:rPr/>
        <w:t>do 26 de xuño e presentada no rexistro do edificio administrativo o día 27 de</w:t>
      </w:r>
      <w:r>
        <w:rPr>
          <w:spacing w:val="-13"/>
        </w:rPr>
        <w:t> </w:t>
      </w:r>
      <w:r>
        <w:rPr/>
        <w:t>xuño.</w:t>
      </w:r>
    </w:p>
    <w:p>
      <w:pPr>
        <w:pStyle w:val="BodyText"/>
        <w:spacing w:before="9"/>
        <w:rPr>
          <w:sz w:val="22"/>
        </w:rPr>
      </w:pPr>
    </w:p>
    <w:p>
      <w:pPr>
        <w:pStyle w:val="BodyText"/>
        <w:spacing w:before="1"/>
        <w:ind w:left="121" w:right="107"/>
        <w:jc w:val="both"/>
      </w:pPr>
      <w:r>
        <w:rPr>
          <w:b/>
        </w:rPr>
        <w:t>Segundo</w:t>
      </w:r>
      <w:r>
        <w:rPr/>
        <w:t>. Con data do 1 de setembro déuselle traslado da documentación achegada polo interesado ao Concello de Nigrán para que, en cumprimento da normativa de transparencia, achegase informe e copia completa e ordenada do expediente.</w:t>
      </w:r>
    </w:p>
    <w:p>
      <w:pPr>
        <w:pStyle w:val="BodyText"/>
        <w:spacing w:before="11"/>
        <w:rPr>
          <w:sz w:val="22"/>
        </w:rPr>
      </w:pPr>
    </w:p>
    <w:p>
      <w:pPr>
        <w:pStyle w:val="BodyText"/>
        <w:ind w:left="121"/>
        <w:jc w:val="both"/>
      </w:pPr>
      <w:r>
        <w:rPr/>
        <w:t>A recepción da solicitude pola administración foi o 6 de setembro.</w:t>
      </w:r>
    </w:p>
    <w:p>
      <w:pPr>
        <w:spacing w:after="0"/>
        <w:jc w:val="both"/>
        <w:sectPr>
          <w:headerReference w:type="default" r:id="rId5"/>
          <w:type w:val="continuous"/>
          <w:pgSz w:w="11900" w:h="16850"/>
          <w:pgMar w:header="794" w:top="1820" w:bottom="280" w:left="1580" w:right="1020"/>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BodyText"/>
        <w:spacing w:before="51"/>
        <w:ind w:left="121"/>
        <w:jc w:val="both"/>
      </w:pPr>
      <w:r>
        <w:rPr>
          <w:b/>
        </w:rPr>
        <w:t>Terceiro</w:t>
      </w:r>
      <w:r>
        <w:rPr/>
        <w:t>. Con data do 19 de setembro de 2017 se recibiu o informe do Concello de Nigrán.</w:t>
      </w:r>
    </w:p>
    <w:p>
      <w:pPr>
        <w:pStyle w:val="BodyText"/>
        <w:spacing w:before="10"/>
        <w:rPr>
          <w:sz w:val="22"/>
        </w:rPr>
      </w:pPr>
    </w:p>
    <w:p>
      <w:pPr>
        <w:pStyle w:val="BodyText"/>
        <w:tabs>
          <w:tab w:pos="3260" w:val="left" w:leader="none"/>
        </w:tabs>
        <w:ind w:left="121" w:right="108"/>
        <w:jc w:val="both"/>
      </w:pPr>
      <w:r>
        <w:rPr/>
        <w:pict>
          <v:rect style="position:absolute;margin-left:134.600098pt;margin-top:15.617852pt;width:103.9079pt;height:15.2518pt;mso-position-horizontal-relative:page;mso-position-vertical-relative:paragraph;z-index:-4528" filled="true" fillcolor="#000000" stroked="false">
            <v:fill type="solid"/>
            <w10:wrap type="none"/>
          </v:rect>
        </w:pict>
      </w:r>
      <w:r>
        <w:rPr/>
        <w:t>O informe, en resumo, indicou que o 3 de xullo tivo entrada no rexistro dese concello un escrito</w:t>
      </w:r>
      <w:r>
        <w:rPr>
          <w:spacing w:val="-4"/>
        </w:rPr>
        <w:t> </w:t>
      </w:r>
      <w:r>
        <w:rPr/>
        <w:t>de</w:t>
        <w:tab/>
        <w:t>de</w:t>
      </w:r>
      <w:r>
        <w:rPr>
          <w:spacing w:val="-5"/>
        </w:rPr>
        <w:t> </w:t>
      </w:r>
      <w:r>
        <w:rPr/>
        <w:t>data</w:t>
      </w:r>
      <w:r>
        <w:rPr>
          <w:spacing w:val="-5"/>
        </w:rPr>
        <w:t> </w:t>
      </w:r>
      <w:r>
        <w:rPr/>
        <w:t>26</w:t>
      </w:r>
      <w:r>
        <w:rPr>
          <w:spacing w:val="-5"/>
        </w:rPr>
        <w:t> </w:t>
      </w:r>
      <w:r>
        <w:rPr/>
        <w:t>de</w:t>
      </w:r>
      <w:r>
        <w:rPr>
          <w:spacing w:val="-5"/>
        </w:rPr>
        <w:t> </w:t>
      </w:r>
      <w:r>
        <w:rPr/>
        <w:t>xuño,</w:t>
      </w:r>
      <w:r>
        <w:rPr>
          <w:spacing w:val="-5"/>
        </w:rPr>
        <w:t> </w:t>
      </w:r>
      <w:r>
        <w:rPr/>
        <w:t>no</w:t>
      </w:r>
      <w:r>
        <w:rPr>
          <w:spacing w:val="-5"/>
        </w:rPr>
        <w:t> </w:t>
      </w:r>
      <w:r>
        <w:rPr/>
        <w:t>que</w:t>
      </w:r>
      <w:r>
        <w:rPr>
          <w:spacing w:val="-4"/>
        </w:rPr>
        <w:t> </w:t>
      </w:r>
      <w:r>
        <w:rPr/>
        <w:t>solicitaba</w:t>
      </w:r>
      <w:r>
        <w:rPr>
          <w:spacing w:val="-5"/>
        </w:rPr>
        <w:t> </w:t>
      </w:r>
      <w:r>
        <w:rPr/>
        <w:t>a</w:t>
      </w:r>
      <w:r>
        <w:rPr>
          <w:spacing w:val="-3"/>
        </w:rPr>
        <w:t> </w:t>
      </w:r>
      <w:r>
        <w:rPr/>
        <w:t>vista</w:t>
      </w:r>
      <w:r>
        <w:rPr>
          <w:spacing w:val="-5"/>
        </w:rPr>
        <w:t> </w:t>
      </w:r>
      <w:r>
        <w:rPr/>
        <w:t>dos</w:t>
      </w:r>
      <w:r>
        <w:rPr>
          <w:spacing w:val="-6"/>
        </w:rPr>
        <w:t> </w:t>
      </w:r>
      <w:r>
        <w:rPr/>
        <w:t>expedientes 14/00336 U e 08/0266 U.</w:t>
      </w:r>
    </w:p>
    <w:p>
      <w:pPr>
        <w:pStyle w:val="BodyText"/>
        <w:spacing w:before="12"/>
        <w:rPr>
          <w:sz w:val="22"/>
        </w:rPr>
      </w:pPr>
    </w:p>
    <w:p>
      <w:pPr>
        <w:pStyle w:val="BodyText"/>
        <w:ind w:left="121" w:right="108"/>
        <w:jc w:val="both"/>
      </w:pPr>
      <w:r>
        <w:rPr/>
        <w:t>O</w:t>
      </w:r>
      <w:r>
        <w:rPr>
          <w:spacing w:val="-6"/>
        </w:rPr>
        <w:t> </w:t>
      </w:r>
      <w:r>
        <w:rPr/>
        <w:t>día</w:t>
      </w:r>
      <w:r>
        <w:rPr>
          <w:spacing w:val="-7"/>
        </w:rPr>
        <w:t> </w:t>
      </w:r>
      <w:r>
        <w:rPr/>
        <w:t>7</w:t>
      </w:r>
      <w:r>
        <w:rPr>
          <w:spacing w:val="-7"/>
        </w:rPr>
        <w:t> </w:t>
      </w:r>
      <w:r>
        <w:rPr/>
        <w:t>de</w:t>
      </w:r>
      <w:r>
        <w:rPr>
          <w:spacing w:val="-7"/>
        </w:rPr>
        <w:t> </w:t>
      </w:r>
      <w:r>
        <w:rPr/>
        <w:t>agosto</w:t>
      </w:r>
      <w:r>
        <w:rPr>
          <w:spacing w:val="-7"/>
        </w:rPr>
        <w:t> </w:t>
      </w:r>
      <w:r>
        <w:rPr/>
        <w:t>de</w:t>
      </w:r>
      <w:r>
        <w:rPr>
          <w:spacing w:val="-7"/>
        </w:rPr>
        <w:t> </w:t>
      </w:r>
      <w:r>
        <w:rPr/>
        <w:t>2017,</w:t>
      </w:r>
      <w:r>
        <w:rPr>
          <w:spacing w:val="-5"/>
        </w:rPr>
        <w:t> </w:t>
      </w:r>
      <w:r>
        <w:rPr/>
        <w:t>accédese</w:t>
      </w:r>
      <w:r>
        <w:rPr>
          <w:spacing w:val="-5"/>
        </w:rPr>
        <w:t> </w:t>
      </w:r>
      <w:r>
        <w:rPr/>
        <w:t>ao</w:t>
      </w:r>
      <w:r>
        <w:rPr>
          <w:spacing w:val="-7"/>
        </w:rPr>
        <w:t> </w:t>
      </w:r>
      <w:r>
        <w:rPr/>
        <w:t>solicitado</w:t>
      </w:r>
      <w:r>
        <w:rPr>
          <w:spacing w:val="-10"/>
        </w:rPr>
        <w:t> </w:t>
      </w:r>
      <w:r>
        <w:rPr/>
        <w:t>sinalando</w:t>
      </w:r>
      <w:r>
        <w:rPr>
          <w:spacing w:val="-7"/>
        </w:rPr>
        <w:t> </w:t>
      </w:r>
      <w:r>
        <w:rPr/>
        <w:t>o</w:t>
      </w:r>
      <w:r>
        <w:rPr>
          <w:spacing w:val="-7"/>
        </w:rPr>
        <w:t> </w:t>
      </w:r>
      <w:r>
        <w:rPr/>
        <w:t>día</w:t>
      </w:r>
      <w:r>
        <w:rPr>
          <w:spacing w:val="-8"/>
        </w:rPr>
        <w:t> </w:t>
      </w:r>
      <w:r>
        <w:rPr/>
        <w:t>5</w:t>
      </w:r>
      <w:r>
        <w:rPr>
          <w:spacing w:val="-7"/>
        </w:rPr>
        <w:t> </w:t>
      </w:r>
      <w:r>
        <w:rPr/>
        <w:t>de</w:t>
      </w:r>
      <w:r>
        <w:rPr>
          <w:spacing w:val="-7"/>
        </w:rPr>
        <w:t> </w:t>
      </w:r>
      <w:r>
        <w:rPr/>
        <w:t>setembro</w:t>
      </w:r>
      <w:r>
        <w:rPr>
          <w:spacing w:val="-7"/>
        </w:rPr>
        <w:t> </w:t>
      </w:r>
      <w:r>
        <w:rPr/>
        <w:t>de</w:t>
      </w:r>
      <w:r>
        <w:rPr>
          <w:spacing w:val="-7"/>
        </w:rPr>
        <w:t> </w:t>
      </w:r>
      <w:r>
        <w:rPr/>
        <w:t>2017</w:t>
      </w:r>
      <w:r>
        <w:rPr>
          <w:spacing w:val="-7"/>
        </w:rPr>
        <w:t> </w:t>
      </w:r>
      <w:r>
        <w:rPr/>
        <w:t>para a súa consulta, significándolle que no caso de non poder acudir o día sinalado, debería comunicalo con antelación á oficina de urbanismo, xa que de non facelo procederíase </w:t>
      </w:r>
      <w:r>
        <w:rPr>
          <w:spacing w:val="-3"/>
        </w:rPr>
        <w:t>ao </w:t>
      </w:r>
      <w:r>
        <w:rPr/>
        <w:t>arquivo da</w:t>
      </w:r>
      <w:r>
        <w:rPr>
          <w:spacing w:val="-3"/>
        </w:rPr>
        <w:t> </w:t>
      </w:r>
      <w:r>
        <w:rPr/>
        <w:t>petición.</w:t>
      </w:r>
    </w:p>
    <w:p>
      <w:pPr>
        <w:pStyle w:val="BodyText"/>
        <w:spacing w:before="11"/>
        <w:rPr>
          <w:sz w:val="22"/>
        </w:rPr>
      </w:pPr>
    </w:p>
    <w:p>
      <w:pPr>
        <w:pStyle w:val="BodyText"/>
        <w:ind w:left="121" w:right="107"/>
        <w:jc w:val="both"/>
      </w:pPr>
      <w:r>
        <w:rPr/>
        <w:t>Unha</w:t>
      </w:r>
      <w:r>
        <w:rPr>
          <w:spacing w:val="-4"/>
        </w:rPr>
        <w:t> </w:t>
      </w:r>
      <w:r>
        <w:rPr/>
        <w:t>vez</w:t>
      </w:r>
      <w:r>
        <w:rPr>
          <w:spacing w:val="-3"/>
        </w:rPr>
        <w:t> </w:t>
      </w:r>
      <w:r>
        <w:rPr/>
        <w:t>devoltos</w:t>
      </w:r>
      <w:r>
        <w:rPr>
          <w:spacing w:val="-4"/>
        </w:rPr>
        <w:t> </w:t>
      </w:r>
      <w:r>
        <w:rPr/>
        <w:t>os</w:t>
      </w:r>
      <w:r>
        <w:rPr>
          <w:spacing w:val="-2"/>
        </w:rPr>
        <w:t> </w:t>
      </w:r>
      <w:r>
        <w:rPr/>
        <w:t>expedientes</w:t>
      </w:r>
      <w:r>
        <w:rPr>
          <w:spacing w:val="-2"/>
        </w:rPr>
        <w:t> </w:t>
      </w:r>
      <w:r>
        <w:rPr/>
        <w:t>ao</w:t>
      </w:r>
      <w:r>
        <w:rPr>
          <w:spacing w:val="-3"/>
        </w:rPr>
        <w:t> </w:t>
      </w:r>
      <w:r>
        <w:rPr/>
        <w:t>arquivo,</w:t>
      </w:r>
      <w:r>
        <w:rPr>
          <w:spacing w:val="-4"/>
        </w:rPr>
        <w:t> </w:t>
      </w:r>
      <w:r>
        <w:rPr/>
        <w:t>o</w:t>
      </w:r>
      <w:r>
        <w:rPr>
          <w:spacing w:val="-6"/>
        </w:rPr>
        <w:t> </w:t>
      </w:r>
      <w:r>
        <w:rPr/>
        <w:t>11</w:t>
      </w:r>
      <w:r>
        <w:rPr>
          <w:spacing w:val="-3"/>
        </w:rPr>
        <w:t> </w:t>
      </w:r>
      <w:r>
        <w:rPr/>
        <w:t>de</w:t>
      </w:r>
      <w:r>
        <w:rPr>
          <w:spacing w:val="-3"/>
        </w:rPr>
        <w:t> </w:t>
      </w:r>
      <w:r>
        <w:rPr/>
        <w:t>setembro</w:t>
      </w:r>
      <w:r>
        <w:rPr>
          <w:spacing w:val="-3"/>
        </w:rPr>
        <w:t> </w:t>
      </w:r>
      <w:r>
        <w:rPr/>
        <w:t>de</w:t>
      </w:r>
      <w:r>
        <w:rPr>
          <w:spacing w:val="-3"/>
        </w:rPr>
        <w:t> </w:t>
      </w:r>
      <w:r>
        <w:rPr/>
        <w:t>2017</w:t>
      </w:r>
      <w:r>
        <w:rPr>
          <w:spacing w:val="-6"/>
        </w:rPr>
        <w:t> </w:t>
      </w:r>
      <w:r>
        <w:rPr/>
        <w:t>presentou</w:t>
      </w:r>
      <w:r>
        <w:rPr>
          <w:spacing w:val="-3"/>
        </w:rPr>
        <w:t> </w:t>
      </w:r>
      <w:r>
        <w:rPr/>
        <w:t>una</w:t>
      </w:r>
      <w:r>
        <w:rPr>
          <w:spacing w:val="-6"/>
        </w:rPr>
        <w:t> </w:t>
      </w:r>
      <w:r>
        <w:rPr/>
        <w:t>nova petición. O día 14 de setembro de 2017 accedese novamente o solicitado polo interesado. Achégase copia da citada</w:t>
      </w:r>
      <w:r>
        <w:rPr>
          <w:spacing w:val="-3"/>
        </w:rPr>
        <w:t> </w:t>
      </w:r>
      <w:r>
        <w:rPr/>
        <w:t>documentación.</w:t>
      </w:r>
    </w:p>
    <w:p>
      <w:pPr>
        <w:pStyle w:val="BodyText"/>
        <w:rPr>
          <w:sz w:val="23"/>
        </w:rPr>
      </w:pPr>
    </w:p>
    <w:p>
      <w:pPr>
        <w:pStyle w:val="BodyText"/>
        <w:ind w:left="121"/>
        <w:jc w:val="both"/>
      </w:pPr>
      <w:r>
        <w:rPr/>
        <w:t>FUNDAMENTOS XURÍDICOS</w:t>
      </w:r>
    </w:p>
    <w:p>
      <w:pPr>
        <w:pStyle w:val="BodyText"/>
        <w:rPr>
          <w:sz w:val="23"/>
        </w:rPr>
      </w:pPr>
    </w:p>
    <w:p>
      <w:pPr>
        <w:pStyle w:val="Heading1"/>
      </w:pPr>
      <w:r>
        <w:rPr/>
        <w:t>Primeiro. Competencia e normativa</w:t>
      </w:r>
    </w:p>
    <w:p>
      <w:pPr>
        <w:pStyle w:val="BodyText"/>
        <w:spacing w:before="12"/>
        <w:rPr>
          <w:b/>
          <w:sz w:val="22"/>
        </w:rPr>
      </w:pPr>
    </w:p>
    <w:p>
      <w:pPr>
        <w:pStyle w:val="BodyText"/>
        <w:ind w:left="121" w:right="107"/>
        <w:jc w:val="both"/>
      </w:pPr>
      <w:r>
        <w:rPr/>
        <w:t>O</w:t>
      </w:r>
      <w:r>
        <w:rPr>
          <w:spacing w:val="-12"/>
        </w:rPr>
        <w:t> </w:t>
      </w:r>
      <w:r>
        <w:rPr/>
        <w:t>artigo</w:t>
      </w:r>
      <w:r>
        <w:rPr>
          <w:spacing w:val="-13"/>
        </w:rPr>
        <w:t> </w:t>
      </w:r>
      <w:r>
        <w:rPr/>
        <w:t>24</w:t>
      </w:r>
      <w:r>
        <w:rPr>
          <w:spacing w:val="-13"/>
        </w:rPr>
        <w:t> </w:t>
      </w:r>
      <w:r>
        <w:rPr/>
        <w:t>da</w:t>
      </w:r>
      <w:r>
        <w:rPr>
          <w:spacing w:val="-13"/>
        </w:rPr>
        <w:t> </w:t>
      </w:r>
      <w:r>
        <w:rPr/>
        <w:t>Lei</w:t>
      </w:r>
      <w:r>
        <w:rPr>
          <w:spacing w:val="-13"/>
        </w:rPr>
        <w:t> </w:t>
      </w:r>
      <w:r>
        <w:rPr/>
        <w:t>19/2013,</w:t>
      </w:r>
      <w:r>
        <w:rPr>
          <w:spacing w:val="-11"/>
        </w:rPr>
        <w:t> </w:t>
      </w:r>
      <w:r>
        <w:rPr/>
        <w:t>do</w:t>
      </w:r>
      <w:r>
        <w:rPr>
          <w:spacing w:val="-11"/>
        </w:rPr>
        <w:t> </w:t>
      </w:r>
      <w:r>
        <w:rPr/>
        <w:t>9</w:t>
      </w:r>
      <w:r>
        <w:rPr>
          <w:spacing w:val="-13"/>
        </w:rPr>
        <w:t> </w:t>
      </w:r>
      <w:r>
        <w:rPr/>
        <w:t>de</w:t>
      </w:r>
      <w:r>
        <w:rPr>
          <w:spacing w:val="-13"/>
        </w:rPr>
        <w:t> </w:t>
      </w:r>
      <w:r>
        <w:rPr/>
        <w:t>decembro,</w:t>
      </w:r>
      <w:r>
        <w:rPr>
          <w:spacing w:val="31"/>
        </w:rPr>
        <w:t> </w:t>
      </w:r>
      <w:r>
        <w:rPr/>
        <w:t>de</w:t>
      </w:r>
      <w:r>
        <w:rPr>
          <w:spacing w:val="-14"/>
        </w:rPr>
        <w:t> </w:t>
      </w:r>
      <w:r>
        <w:rPr/>
        <w:t>transparencia,</w:t>
      </w:r>
      <w:r>
        <w:rPr>
          <w:spacing w:val="-14"/>
        </w:rPr>
        <w:t> </w:t>
      </w:r>
      <w:r>
        <w:rPr/>
        <w:t>acceso</w:t>
      </w:r>
      <w:r>
        <w:rPr>
          <w:spacing w:val="-11"/>
        </w:rPr>
        <w:t> </w:t>
      </w:r>
      <w:r>
        <w:rPr/>
        <w:t>á</w:t>
      </w:r>
      <w:r>
        <w:rPr>
          <w:spacing w:val="-13"/>
        </w:rPr>
        <w:t> </w:t>
      </w:r>
      <w:r>
        <w:rPr/>
        <w:t>información</w:t>
      </w:r>
      <w:r>
        <w:rPr>
          <w:spacing w:val="-12"/>
        </w:rPr>
        <w:t> </w:t>
      </w:r>
      <w:r>
        <w:rPr/>
        <w:t>pública e bo goberno,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artigo 24 corresponderá, nos supostos de resolucións ditadas polas Administracións das Comunidades autónomas e o seu sector público, e polas Entidades Locais comprendidas no seu ámbito territorial, ao órgano independente que determinen as Comunidades</w:t>
      </w:r>
      <w:r>
        <w:rPr>
          <w:spacing w:val="-11"/>
        </w:rPr>
        <w:t> </w:t>
      </w:r>
      <w:r>
        <w:rPr/>
        <w:t>Autónomas.</w:t>
      </w:r>
    </w:p>
    <w:p>
      <w:pPr>
        <w:pStyle w:val="BodyText"/>
        <w:spacing w:before="10"/>
        <w:rPr>
          <w:sz w:val="22"/>
        </w:rPr>
      </w:pPr>
    </w:p>
    <w:p>
      <w:pPr>
        <w:pStyle w:val="BodyText"/>
        <w:spacing w:before="1"/>
        <w:ind w:left="121" w:right="109"/>
        <w:jc w:val="both"/>
      </w:pPr>
      <w:r>
        <w:rPr/>
        <w:t>A lexislación aplicable a este procedemento vén configurada pola citada Lei 19/2013, do 9 de decembro, e pola Lei 1/2016, do 18 de xaneiro xunto coa lexislación básica en materia de procedemento administrativo.</w:t>
      </w:r>
    </w:p>
    <w:p>
      <w:pPr>
        <w:pStyle w:val="BodyText"/>
        <w:spacing w:before="11"/>
        <w:rPr>
          <w:sz w:val="22"/>
        </w:rPr>
      </w:pPr>
    </w:p>
    <w:p>
      <w:pPr>
        <w:pStyle w:val="BodyText"/>
        <w:ind w:left="121" w:right="109"/>
        <w:jc w:val="both"/>
      </w:pPr>
      <w:r>
        <w:rPr/>
        <w:t>O artigo 28 da Lei 1/2016, do 18 de xaneiro, establece que contra toda resolución expresa ou presunta en materia de acceso á información pública poderá interpoñerse unha reclamación perante</w:t>
      </w:r>
      <w:r>
        <w:rPr>
          <w:spacing w:val="-2"/>
        </w:rPr>
        <w:t> </w:t>
      </w:r>
      <w:r>
        <w:rPr/>
        <w:t>o</w:t>
      </w:r>
      <w:r>
        <w:rPr>
          <w:spacing w:val="-5"/>
        </w:rPr>
        <w:t> </w:t>
      </w:r>
      <w:r>
        <w:rPr/>
        <w:t>Valedor</w:t>
      </w:r>
      <w:r>
        <w:rPr>
          <w:spacing w:val="-3"/>
        </w:rPr>
        <w:t> </w:t>
      </w:r>
      <w:r>
        <w:rPr/>
        <w:t>do</w:t>
      </w:r>
      <w:r>
        <w:rPr>
          <w:spacing w:val="-5"/>
        </w:rPr>
        <w:t> </w:t>
      </w:r>
      <w:r>
        <w:rPr/>
        <w:t>Pobo;</w:t>
      </w:r>
      <w:r>
        <w:rPr>
          <w:spacing w:val="-2"/>
        </w:rPr>
        <w:t> </w:t>
      </w:r>
      <w:r>
        <w:rPr/>
        <w:t>e</w:t>
      </w:r>
      <w:r>
        <w:rPr>
          <w:spacing w:val="-2"/>
        </w:rPr>
        <w:t> </w:t>
      </w:r>
      <w:r>
        <w:rPr/>
        <w:t>o</w:t>
      </w:r>
      <w:r>
        <w:rPr>
          <w:spacing w:val="-2"/>
        </w:rPr>
        <w:t> </w:t>
      </w:r>
      <w:r>
        <w:rPr/>
        <w:t>artigo</w:t>
      </w:r>
      <w:r>
        <w:rPr>
          <w:spacing w:val="-5"/>
        </w:rPr>
        <w:t> </w:t>
      </w:r>
      <w:r>
        <w:rPr/>
        <w:t>33</w:t>
      </w:r>
      <w:r>
        <w:rPr>
          <w:spacing w:val="-2"/>
        </w:rPr>
        <w:t> </w:t>
      </w:r>
      <w:r>
        <w:rPr/>
        <w:t>da</w:t>
      </w:r>
      <w:r>
        <w:rPr>
          <w:spacing w:val="-5"/>
        </w:rPr>
        <w:t> </w:t>
      </w:r>
      <w:r>
        <w:rPr/>
        <w:t>mesma</w:t>
      </w:r>
      <w:r>
        <w:rPr>
          <w:spacing w:val="-3"/>
        </w:rPr>
        <w:t> </w:t>
      </w:r>
      <w:r>
        <w:rPr/>
        <w:t>lei</w:t>
      </w:r>
      <w:r>
        <w:rPr>
          <w:spacing w:val="-3"/>
        </w:rPr>
        <w:t> </w:t>
      </w:r>
      <w:r>
        <w:rPr/>
        <w:t>indica</w:t>
      </w:r>
      <w:r>
        <w:rPr>
          <w:spacing w:val="-5"/>
        </w:rPr>
        <w:t> </w:t>
      </w:r>
      <w:r>
        <w:rPr/>
        <w:t>que</w:t>
      </w:r>
      <w:r>
        <w:rPr>
          <w:spacing w:val="-2"/>
        </w:rPr>
        <w:t> </w:t>
      </w:r>
      <w:r>
        <w:rPr/>
        <w:t>corresponde</w:t>
      </w:r>
      <w:r>
        <w:rPr>
          <w:spacing w:val="-2"/>
        </w:rPr>
        <w:t> </w:t>
      </w:r>
      <w:r>
        <w:rPr/>
        <w:t>á</w:t>
      </w:r>
      <w:r>
        <w:rPr>
          <w:spacing w:val="-3"/>
        </w:rPr>
        <w:t> </w:t>
      </w:r>
      <w:r>
        <w:rPr/>
        <w:t>Comisión</w:t>
      </w:r>
      <w:r>
        <w:rPr>
          <w:spacing w:val="-4"/>
        </w:rPr>
        <w:t> </w:t>
      </w:r>
      <w:r>
        <w:rPr/>
        <w:t>da Transparencia (órgano colexiado) a resolución das reclamacións fronte ás resolucións de acceso á información pública que establece o seu artigo</w:t>
      </w:r>
      <w:r>
        <w:rPr>
          <w:spacing w:val="-3"/>
        </w:rPr>
        <w:t> </w:t>
      </w:r>
      <w:r>
        <w:rPr/>
        <w:t>28.</w:t>
      </w:r>
    </w:p>
    <w:p>
      <w:pPr>
        <w:pStyle w:val="BodyText"/>
        <w:spacing w:before="12"/>
        <w:rPr>
          <w:sz w:val="22"/>
        </w:rPr>
      </w:pPr>
    </w:p>
    <w:p>
      <w:pPr>
        <w:pStyle w:val="BodyText"/>
        <w:ind w:left="121" w:right="108"/>
        <w:jc w:val="both"/>
      </w:pPr>
      <w:r>
        <w:rPr/>
        <w:t>A</w:t>
      </w:r>
      <w:r>
        <w:rPr>
          <w:spacing w:val="-4"/>
        </w:rPr>
        <w:t> </w:t>
      </w:r>
      <w:r>
        <w:rPr/>
        <w:t>disposición</w:t>
      </w:r>
      <w:r>
        <w:rPr>
          <w:spacing w:val="-4"/>
        </w:rPr>
        <w:t> </w:t>
      </w:r>
      <w:r>
        <w:rPr/>
        <w:t>adicional</w:t>
      </w:r>
      <w:r>
        <w:rPr>
          <w:spacing w:val="-6"/>
        </w:rPr>
        <w:t> </w:t>
      </w:r>
      <w:r>
        <w:rPr/>
        <w:t>quinta</w:t>
      </w:r>
      <w:r>
        <w:rPr>
          <w:spacing w:val="-4"/>
        </w:rPr>
        <w:t> </w:t>
      </w:r>
      <w:r>
        <w:rPr/>
        <w:t>da</w:t>
      </w:r>
      <w:r>
        <w:rPr>
          <w:spacing w:val="-6"/>
        </w:rPr>
        <w:t> </w:t>
      </w:r>
      <w:r>
        <w:rPr/>
        <w:t>lei</w:t>
      </w:r>
      <w:r>
        <w:rPr>
          <w:spacing w:val="-4"/>
        </w:rPr>
        <w:t> </w:t>
      </w:r>
      <w:r>
        <w:rPr/>
        <w:t>establece</w:t>
      </w:r>
      <w:r>
        <w:rPr>
          <w:spacing w:val="-6"/>
        </w:rPr>
        <w:t> </w:t>
      </w:r>
      <w:r>
        <w:rPr/>
        <w:t>que</w:t>
      </w:r>
      <w:r>
        <w:rPr>
          <w:spacing w:val="-4"/>
        </w:rPr>
        <w:t> </w:t>
      </w:r>
      <w:r>
        <w:rPr/>
        <w:t>resolver</w:t>
      </w:r>
      <w:r>
        <w:rPr>
          <w:spacing w:val="-6"/>
        </w:rPr>
        <w:t> </w:t>
      </w:r>
      <w:r>
        <w:rPr/>
        <w:t>esas</w:t>
      </w:r>
      <w:r>
        <w:rPr>
          <w:spacing w:val="-4"/>
        </w:rPr>
        <w:t> </w:t>
      </w:r>
      <w:r>
        <w:rPr/>
        <w:t>reclamacións</w:t>
      </w:r>
      <w:r>
        <w:rPr>
          <w:spacing w:val="-4"/>
        </w:rPr>
        <w:t> </w:t>
      </w:r>
      <w:r>
        <w:rPr/>
        <w:t>corresponderá, no suposto de resolucións ditadas polas entidades locais de Galicia, ao Valedor do Pobo, ao que adscríbese a Comisión da Transparencia, que por tanto é a</w:t>
      </w:r>
      <w:r>
        <w:rPr>
          <w:spacing w:val="-10"/>
        </w:rPr>
        <w:t> </w:t>
      </w:r>
      <w:r>
        <w:rPr/>
        <w:t>competente.</w:t>
      </w:r>
    </w:p>
    <w:p>
      <w:pPr>
        <w:spacing w:after="0"/>
        <w:jc w:val="both"/>
        <w:sectPr>
          <w:footerReference w:type="default" r:id="rId6"/>
          <w:pgSz w:w="11900" w:h="16850"/>
          <w:pgMar w:footer="1031" w:header="794" w:top="1820" w:bottom="1220" w:left="1580" w:right="1020"/>
          <w:pgNumType w:start="2"/>
        </w:sectPr>
      </w:pPr>
    </w:p>
    <w:p>
      <w:pPr>
        <w:pStyle w:val="BodyText"/>
        <w:rPr>
          <w:sz w:val="20"/>
        </w:rPr>
      </w:pPr>
    </w:p>
    <w:p>
      <w:pPr>
        <w:pStyle w:val="BodyText"/>
        <w:rPr>
          <w:sz w:val="20"/>
        </w:rPr>
      </w:pPr>
    </w:p>
    <w:p>
      <w:pPr>
        <w:pStyle w:val="BodyText"/>
        <w:rPr>
          <w:sz w:val="20"/>
        </w:rPr>
      </w:pPr>
    </w:p>
    <w:p>
      <w:pPr>
        <w:pStyle w:val="BodyText"/>
        <w:spacing w:before="7"/>
        <w:rPr>
          <w:sz w:val="27"/>
        </w:rPr>
      </w:pPr>
    </w:p>
    <w:p>
      <w:pPr>
        <w:pStyle w:val="Heading1"/>
        <w:spacing w:before="51"/>
      </w:pPr>
      <w:r>
        <w:rPr/>
        <w:t>Segundo. Procedemento aplicable</w:t>
      </w:r>
    </w:p>
    <w:p>
      <w:pPr>
        <w:pStyle w:val="BodyText"/>
        <w:spacing w:before="10"/>
        <w:rPr>
          <w:b/>
          <w:sz w:val="22"/>
        </w:rPr>
      </w:pPr>
    </w:p>
    <w:p>
      <w:pPr>
        <w:pStyle w:val="BodyText"/>
        <w:ind w:left="121" w:right="109"/>
        <w:jc w:val="both"/>
      </w:pPr>
      <w:r>
        <w:rPr/>
        <w:t>O artigo 28.3 da Lei 1/2016, do 18 de xaneiro preceptúa que o procedemento se axustará ao previsto</w:t>
      </w:r>
      <w:r>
        <w:rPr>
          <w:spacing w:val="-15"/>
        </w:rPr>
        <w:t> </w:t>
      </w:r>
      <w:r>
        <w:rPr/>
        <w:t>nos</w:t>
      </w:r>
      <w:r>
        <w:rPr>
          <w:spacing w:val="-16"/>
        </w:rPr>
        <w:t> </w:t>
      </w:r>
      <w:r>
        <w:rPr/>
        <w:t>números</w:t>
      </w:r>
      <w:r>
        <w:rPr>
          <w:spacing w:val="-16"/>
        </w:rPr>
        <w:t> </w:t>
      </w:r>
      <w:r>
        <w:rPr/>
        <w:t>2,</w:t>
      </w:r>
      <w:r>
        <w:rPr>
          <w:spacing w:val="-16"/>
        </w:rPr>
        <w:t> </w:t>
      </w:r>
      <w:r>
        <w:rPr/>
        <w:t>3,</w:t>
      </w:r>
      <w:r>
        <w:rPr>
          <w:spacing w:val="-13"/>
        </w:rPr>
        <w:t> </w:t>
      </w:r>
      <w:r>
        <w:rPr/>
        <w:t>e</w:t>
      </w:r>
      <w:r>
        <w:rPr>
          <w:spacing w:val="-15"/>
        </w:rPr>
        <w:t> </w:t>
      </w:r>
      <w:r>
        <w:rPr/>
        <w:t>4</w:t>
      </w:r>
      <w:r>
        <w:rPr>
          <w:spacing w:val="-15"/>
        </w:rPr>
        <w:t> </w:t>
      </w:r>
      <w:r>
        <w:rPr/>
        <w:t>do</w:t>
      </w:r>
      <w:r>
        <w:rPr>
          <w:spacing w:val="-13"/>
        </w:rPr>
        <w:t> </w:t>
      </w:r>
      <w:r>
        <w:rPr/>
        <w:t>artigo</w:t>
      </w:r>
      <w:r>
        <w:rPr>
          <w:spacing w:val="-15"/>
        </w:rPr>
        <w:t> </w:t>
      </w:r>
      <w:r>
        <w:rPr/>
        <w:t>24</w:t>
      </w:r>
      <w:r>
        <w:rPr>
          <w:spacing w:val="-15"/>
        </w:rPr>
        <w:t> </w:t>
      </w:r>
      <w:r>
        <w:rPr/>
        <w:t>da</w:t>
      </w:r>
      <w:r>
        <w:rPr>
          <w:spacing w:val="-13"/>
        </w:rPr>
        <w:t> </w:t>
      </w:r>
      <w:r>
        <w:rPr/>
        <w:t>Lei</w:t>
      </w:r>
      <w:r>
        <w:rPr>
          <w:spacing w:val="-18"/>
        </w:rPr>
        <w:t> </w:t>
      </w:r>
      <w:r>
        <w:rPr/>
        <w:t>19/2013,</w:t>
      </w:r>
      <w:r>
        <w:rPr>
          <w:spacing w:val="-16"/>
        </w:rPr>
        <w:t> </w:t>
      </w:r>
      <w:r>
        <w:rPr/>
        <w:t>do</w:t>
      </w:r>
      <w:r>
        <w:rPr>
          <w:spacing w:val="-15"/>
        </w:rPr>
        <w:t> </w:t>
      </w:r>
      <w:r>
        <w:rPr/>
        <w:t>9</w:t>
      </w:r>
      <w:r>
        <w:rPr>
          <w:spacing w:val="-15"/>
        </w:rPr>
        <w:t> </w:t>
      </w:r>
      <w:r>
        <w:rPr/>
        <w:t>de</w:t>
      </w:r>
      <w:r>
        <w:rPr>
          <w:spacing w:val="-15"/>
        </w:rPr>
        <w:t> </w:t>
      </w:r>
      <w:r>
        <w:rPr/>
        <w:t>decembro.</w:t>
      </w:r>
      <w:r>
        <w:rPr>
          <w:spacing w:val="-14"/>
        </w:rPr>
        <w:t> </w:t>
      </w:r>
      <w:r>
        <w:rPr/>
        <w:t>Esta</w:t>
      </w:r>
      <w:r>
        <w:rPr>
          <w:spacing w:val="-16"/>
        </w:rPr>
        <w:t> </w:t>
      </w:r>
      <w:r>
        <w:rPr/>
        <w:t>lei</w:t>
      </w:r>
      <w:r>
        <w:rPr>
          <w:spacing w:val="-16"/>
        </w:rPr>
        <w:t> </w:t>
      </w:r>
      <w:r>
        <w:rPr/>
        <w:t>19/2013, do 9 de decembro, sinala que estamos ante unha reclamación con carácter potestativo e previa á impugnación en vía contencioso-administrativa e que se axustará na súa tramitación ao disposto na lexislación de procedemento administrativo común en materia de</w:t>
      </w:r>
      <w:r>
        <w:rPr>
          <w:spacing w:val="-19"/>
        </w:rPr>
        <w:t> </w:t>
      </w:r>
      <w:r>
        <w:rPr/>
        <w:t>recursos.</w:t>
      </w:r>
    </w:p>
    <w:p>
      <w:pPr>
        <w:pStyle w:val="BodyText"/>
        <w:spacing w:before="11"/>
        <w:rPr>
          <w:sz w:val="22"/>
        </w:rPr>
      </w:pPr>
    </w:p>
    <w:p>
      <w:pPr>
        <w:pStyle w:val="Heading1"/>
      </w:pPr>
      <w:r>
        <w:rPr/>
        <w:t>Terceiro. Dereito de acceso á información pública</w:t>
      </w:r>
    </w:p>
    <w:p>
      <w:pPr>
        <w:pStyle w:val="BodyText"/>
        <w:rPr>
          <w:b/>
          <w:sz w:val="23"/>
        </w:rPr>
      </w:pPr>
    </w:p>
    <w:p>
      <w:pPr>
        <w:spacing w:line="240" w:lineRule="auto" w:before="0"/>
        <w:ind w:left="121" w:right="108" w:firstLine="0"/>
        <w:jc w:val="both"/>
        <w:rPr>
          <w:i/>
          <w:sz w:val="24"/>
        </w:rPr>
      </w:pPr>
      <w:r>
        <w:rPr>
          <w:sz w:val="24"/>
        </w:rPr>
        <w:t>A Lei 1/2016, do 18 de xaneiro, recoñece no seu artigo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w:t>
      </w:r>
    </w:p>
    <w:p>
      <w:pPr>
        <w:pStyle w:val="BodyText"/>
        <w:spacing w:before="12"/>
        <w:rPr>
          <w:i/>
          <w:sz w:val="22"/>
        </w:rPr>
      </w:pPr>
    </w:p>
    <w:p>
      <w:pPr>
        <w:pStyle w:val="BodyText"/>
        <w:ind w:left="121" w:right="109"/>
        <w:jc w:val="both"/>
      </w:pPr>
      <w:r>
        <w:rPr/>
        <w:t>O artigo 12 da Lei 19/2013, do 9 de decembro, configura o dereito de acceso á información pública de forma ampla, sendo titulares do mesmo todas as persoas. A Lei 1/2016, do 18 de xaneiro, sinala que o solicitante non está obrigada a motivar a súa solicitude de acceso á información (artigo 26.4).</w:t>
      </w:r>
    </w:p>
    <w:p>
      <w:pPr>
        <w:pStyle w:val="BodyText"/>
        <w:spacing w:before="11"/>
        <w:rPr>
          <w:sz w:val="22"/>
        </w:rPr>
      </w:pPr>
    </w:p>
    <w:p>
      <w:pPr>
        <w:pStyle w:val="Heading1"/>
      </w:pPr>
      <w:r>
        <w:rPr/>
        <w:t>Cuarto. Análise do expediente</w:t>
      </w:r>
    </w:p>
    <w:p>
      <w:pPr>
        <w:pStyle w:val="BodyText"/>
        <w:rPr>
          <w:b/>
          <w:sz w:val="23"/>
        </w:rPr>
      </w:pPr>
    </w:p>
    <w:p>
      <w:pPr>
        <w:pStyle w:val="BodyText"/>
        <w:ind w:left="121" w:right="108"/>
        <w:jc w:val="both"/>
      </w:pPr>
      <w:r>
        <w:rPr/>
        <w:t>O recurso substitutivo contra a presunta desestimación por silencio da solicitude de acceso á información de data de 26 de xuño de 2017 foi presentado no Rexistro Xeral da Xunta de Galicia do edificio administrativo de Vigo o día 21 de xullo de 2017, antes do transcurso do prazo</w:t>
      </w:r>
      <w:r>
        <w:rPr>
          <w:spacing w:val="-12"/>
        </w:rPr>
        <w:t> </w:t>
      </w:r>
      <w:r>
        <w:rPr/>
        <w:t>dun</w:t>
      </w:r>
      <w:r>
        <w:rPr>
          <w:spacing w:val="-10"/>
        </w:rPr>
        <w:t> </w:t>
      </w:r>
      <w:r>
        <w:rPr/>
        <w:t>mes</w:t>
      </w:r>
      <w:r>
        <w:rPr>
          <w:spacing w:val="-10"/>
        </w:rPr>
        <w:t> </w:t>
      </w:r>
      <w:r>
        <w:rPr/>
        <w:t>de</w:t>
      </w:r>
      <w:r>
        <w:rPr>
          <w:spacing w:val="-12"/>
        </w:rPr>
        <w:t> </w:t>
      </w:r>
      <w:r>
        <w:rPr/>
        <w:t>que</w:t>
      </w:r>
      <w:r>
        <w:rPr>
          <w:spacing w:val="-12"/>
        </w:rPr>
        <w:t> </w:t>
      </w:r>
      <w:r>
        <w:rPr/>
        <w:t>dispón</w:t>
      </w:r>
      <w:r>
        <w:rPr>
          <w:spacing w:val="-10"/>
        </w:rPr>
        <w:t> </w:t>
      </w:r>
      <w:r>
        <w:rPr/>
        <w:t>o</w:t>
      </w:r>
      <w:r>
        <w:rPr>
          <w:spacing w:val="-10"/>
        </w:rPr>
        <w:t> </w:t>
      </w:r>
      <w:r>
        <w:rPr/>
        <w:t>órgano</w:t>
      </w:r>
      <w:r>
        <w:rPr>
          <w:spacing w:val="-10"/>
        </w:rPr>
        <w:t> </w:t>
      </w:r>
      <w:r>
        <w:rPr/>
        <w:t>competente</w:t>
      </w:r>
      <w:r>
        <w:rPr>
          <w:spacing w:val="-10"/>
        </w:rPr>
        <w:t> </w:t>
      </w:r>
      <w:r>
        <w:rPr/>
        <w:t>para</w:t>
      </w:r>
      <w:r>
        <w:rPr>
          <w:spacing w:val="-10"/>
        </w:rPr>
        <w:t> </w:t>
      </w:r>
      <w:r>
        <w:rPr/>
        <w:t>resolver</w:t>
      </w:r>
      <w:r>
        <w:rPr>
          <w:spacing w:val="-8"/>
        </w:rPr>
        <w:t> </w:t>
      </w:r>
      <w:r>
        <w:rPr/>
        <w:t>sobre</w:t>
      </w:r>
      <w:r>
        <w:rPr>
          <w:spacing w:val="-10"/>
        </w:rPr>
        <w:t> </w:t>
      </w:r>
      <w:r>
        <w:rPr/>
        <w:t>a</w:t>
      </w:r>
      <w:r>
        <w:rPr>
          <w:spacing w:val="-12"/>
        </w:rPr>
        <w:t> </w:t>
      </w:r>
      <w:r>
        <w:rPr/>
        <w:t>petición</w:t>
      </w:r>
      <w:r>
        <w:rPr>
          <w:spacing w:val="-10"/>
        </w:rPr>
        <w:t> </w:t>
      </w:r>
      <w:r>
        <w:rPr/>
        <w:t>e</w:t>
      </w:r>
      <w:r>
        <w:rPr>
          <w:spacing w:val="-12"/>
        </w:rPr>
        <w:t> </w:t>
      </w:r>
      <w:r>
        <w:rPr/>
        <w:t>notificala.</w:t>
      </w:r>
    </w:p>
    <w:p>
      <w:pPr>
        <w:pStyle w:val="BodyText"/>
        <w:spacing w:before="12"/>
        <w:rPr>
          <w:sz w:val="22"/>
        </w:rPr>
      </w:pPr>
    </w:p>
    <w:p>
      <w:pPr>
        <w:pStyle w:val="BodyText"/>
        <w:ind w:left="121" w:right="108"/>
        <w:jc w:val="both"/>
      </w:pPr>
      <w:r>
        <w:rPr/>
        <w:t>Malia que o acceso lle fora xa concedido ao reclamante polo Concello de Nigrán, o recurso substitutivo debe ser inadmitido por non terse esgotado o prazo máximo conferido a administración municipal para resolver sobre a concesión ou denegación do acceso. Cómpre indicar</w:t>
      </w:r>
      <w:r>
        <w:rPr>
          <w:spacing w:val="-9"/>
        </w:rPr>
        <w:t> </w:t>
      </w:r>
      <w:r>
        <w:rPr/>
        <w:t>que</w:t>
      </w:r>
      <w:r>
        <w:rPr>
          <w:spacing w:val="-8"/>
        </w:rPr>
        <w:t> </w:t>
      </w:r>
      <w:r>
        <w:rPr/>
        <w:t>o</w:t>
      </w:r>
      <w:r>
        <w:rPr>
          <w:spacing w:val="-8"/>
        </w:rPr>
        <w:t> </w:t>
      </w:r>
      <w:r>
        <w:rPr/>
        <w:t>prazo</w:t>
      </w:r>
      <w:r>
        <w:rPr>
          <w:spacing w:val="-8"/>
        </w:rPr>
        <w:t> </w:t>
      </w:r>
      <w:r>
        <w:rPr/>
        <w:t>se</w:t>
      </w:r>
      <w:r>
        <w:rPr>
          <w:spacing w:val="-6"/>
        </w:rPr>
        <w:t> </w:t>
      </w:r>
      <w:r>
        <w:rPr/>
        <w:t>computa</w:t>
      </w:r>
      <w:r>
        <w:rPr>
          <w:spacing w:val="-9"/>
        </w:rPr>
        <w:t> </w:t>
      </w:r>
      <w:r>
        <w:rPr/>
        <w:t>desde</w:t>
      </w:r>
      <w:r>
        <w:rPr>
          <w:spacing w:val="-6"/>
        </w:rPr>
        <w:t> </w:t>
      </w:r>
      <w:r>
        <w:rPr/>
        <w:t>a</w:t>
      </w:r>
      <w:r>
        <w:rPr>
          <w:spacing w:val="-9"/>
        </w:rPr>
        <w:t> </w:t>
      </w:r>
      <w:r>
        <w:rPr/>
        <w:t>recepción</w:t>
      </w:r>
      <w:r>
        <w:rPr>
          <w:spacing w:val="-8"/>
        </w:rPr>
        <w:t> </w:t>
      </w:r>
      <w:r>
        <w:rPr/>
        <w:t>da</w:t>
      </w:r>
      <w:r>
        <w:rPr>
          <w:spacing w:val="-9"/>
        </w:rPr>
        <w:t> </w:t>
      </w:r>
      <w:r>
        <w:rPr/>
        <w:t>solicitude</w:t>
      </w:r>
      <w:r>
        <w:rPr>
          <w:spacing w:val="-8"/>
        </w:rPr>
        <w:t> </w:t>
      </w:r>
      <w:r>
        <w:rPr/>
        <w:t>polo</w:t>
      </w:r>
      <w:r>
        <w:rPr>
          <w:spacing w:val="-8"/>
        </w:rPr>
        <w:t> </w:t>
      </w:r>
      <w:r>
        <w:rPr/>
        <w:t>órgano</w:t>
      </w:r>
      <w:r>
        <w:rPr>
          <w:spacing w:val="-6"/>
        </w:rPr>
        <w:t> </w:t>
      </w:r>
      <w:r>
        <w:rPr/>
        <w:t>competente</w:t>
      </w:r>
      <w:r>
        <w:rPr>
          <w:spacing w:val="-8"/>
        </w:rPr>
        <w:t> </w:t>
      </w:r>
      <w:r>
        <w:rPr/>
        <w:t>para resolver e que o Concello de Nigrán informou a esta Comisión que o escrito do reclamante tivo entrada no rexistro dese concello o día 3 de</w:t>
      </w:r>
      <w:r>
        <w:rPr>
          <w:spacing w:val="-11"/>
        </w:rPr>
        <w:t> </w:t>
      </w:r>
      <w:r>
        <w:rPr/>
        <w:t>xullo.</w:t>
      </w:r>
    </w:p>
    <w:p>
      <w:pPr>
        <w:pStyle w:val="BodyText"/>
        <w:spacing w:before="11"/>
        <w:rPr>
          <w:sz w:val="22"/>
        </w:rPr>
      </w:pPr>
    </w:p>
    <w:p>
      <w:pPr>
        <w:pStyle w:val="BodyText"/>
        <w:ind w:left="121" w:right="108"/>
        <w:jc w:val="both"/>
      </w:pPr>
      <w:r>
        <w:rPr/>
        <w:t>De feito, o reclamante incorre nun erro claro xa que na súa reclamación perante a Comisión da Transparencia, de data do 20 de xullo de 2017, indica que teñen transcorrido trinta días desde a súa solicitude de 27 de xuño sen que se lle notificara a resolución.</w:t>
      </w:r>
    </w:p>
    <w:p>
      <w:pPr>
        <w:pStyle w:val="BodyText"/>
        <w:spacing w:before="12"/>
        <w:rPr>
          <w:sz w:val="22"/>
        </w:rPr>
      </w:pPr>
    </w:p>
    <w:p>
      <w:pPr>
        <w:pStyle w:val="BodyText"/>
        <w:ind w:left="121"/>
        <w:jc w:val="both"/>
      </w:pPr>
      <w:r>
        <w:rPr/>
        <w:t>En conclusión, a Comisión da Transparencia</w:t>
      </w:r>
    </w:p>
    <w:p>
      <w:pPr>
        <w:pStyle w:val="BodyText"/>
        <w:spacing w:before="9"/>
        <w:rPr>
          <w:sz w:val="22"/>
        </w:rPr>
      </w:pPr>
    </w:p>
    <w:p>
      <w:pPr>
        <w:pStyle w:val="Heading1"/>
        <w:spacing w:before="1"/>
      </w:pPr>
      <w:bookmarkStart w:name="ACORDA" w:id="3"/>
      <w:bookmarkEnd w:id="3"/>
      <w:r>
        <w:rPr>
          <w:b w:val="0"/>
        </w:rPr>
      </w:r>
      <w:r>
        <w:rPr/>
        <w:t>ACORDA</w:t>
      </w:r>
    </w:p>
    <w:p>
      <w:pPr>
        <w:spacing w:after="0"/>
        <w:sectPr>
          <w:pgSz w:w="11900" w:h="16850"/>
          <w:pgMar w:header="794" w:footer="1031" w:top="1820" w:bottom="1220" w:left="1580" w:right="1020"/>
        </w:sectPr>
      </w:pPr>
    </w:p>
    <w:p>
      <w:pPr>
        <w:pStyle w:val="BodyText"/>
        <w:rPr>
          <w:b/>
          <w:sz w:val="20"/>
        </w:rPr>
      </w:pPr>
    </w:p>
    <w:p>
      <w:pPr>
        <w:pStyle w:val="BodyText"/>
        <w:rPr>
          <w:b/>
          <w:sz w:val="20"/>
        </w:rPr>
      </w:pPr>
    </w:p>
    <w:p>
      <w:pPr>
        <w:pStyle w:val="BodyText"/>
        <w:rPr>
          <w:b/>
          <w:sz w:val="20"/>
        </w:rPr>
      </w:pPr>
    </w:p>
    <w:p>
      <w:pPr>
        <w:pStyle w:val="BodyText"/>
        <w:spacing w:before="7"/>
        <w:rPr>
          <w:b/>
          <w:sz w:val="27"/>
        </w:rPr>
      </w:pPr>
    </w:p>
    <w:p>
      <w:pPr>
        <w:pStyle w:val="BodyText"/>
        <w:spacing w:before="51"/>
        <w:ind w:left="121"/>
      </w:pPr>
      <w:r>
        <w:rPr/>
        <w:t>En atención aos anteriores antecedentes, fundamentos xurídicos, procede</w:t>
      </w:r>
    </w:p>
    <w:p>
      <w:pPr>
        <w:pStyle w:val="BodyText"/>
        <w:spacing w:before="10"/>
        <w:rPr>
          <w:sz w:val="22"/>
        </w:rPr>
      </w:pPr>
    </w:p>
    <w:p>
      <w:pPr>
        <w:pStyle w:val="BodyText"/>
        <w:ind w:left="121"/>
      </w:pPr>
      <w:r>
        <w:rPr/>
        <w:pict>
          <v:rect style="position:absolute;margin-left:432.559998pt;margin-top:.857852pt;width:104.8677pt;height:15.2518pt;mso-position-horizontal-relative:page;mso-position-vertical-relative:paragraph;z-index:1168" filled="true" fillcolor="#000000" stroked="false">
            <v:fill type="solid"/>
            <w10:wrap type="none"/>
          </v:rect>
        </w:pict>
      </w:r>
      <w:r>
        <w:rPr>
          <w:b/>
        </w:rPr>
        <w:t>Único</w:t>
      </w:r>
      <w:r>
        <w:rPr/>
        <w:t>: Inadmitir a reclamación do 20 de xullo de 2017, presentada por</w:t>
      </w:r>
    </w:p>
    <w:p>
      <w:pPr>
        <w:pStyle w:val="BodyText"/>
        <w:spacing w:before="2"/>
        <w:ind w:left="121" w:right="109" w:firstLine="998"/>
        <w:jc w:val="both"/>
      </w:pPr>
      <w:r>
        <w:rPr/>
        <w:pict>
          <v:rect style="position:absolute;margin-left:84.080002pt;margin-top:.957903pt;width:46.2843pt;height:15.2518pt;mso-position-horizontal-relative:page;mso-position-vertical-relative:paragraph;z-index:-4480" filled="true" fillcolor="#000000" stroked="false">
            <v:fill type="solid"/>
            <w10:wrap type="none"/>
          </v:rect>
        </w:pict>
      </w:r>
      <w:r>
        <w:rPr/>
        <w:t>con data de rexistro do 21 de xullo de 2017, contra a denegación por silencio do acceso á información por parte do Concello de Nigrán por non ter transcorrido o prazo legal conferido a administración para resolver sobre a petición e notificala.</w:t>
      </w:r>
    </w:p>
    <w:p>
      <w:pPr>
        <w:pStyle w:val="BodyText"/>
        <w:spacing w:before="9"/>
        <w:rPr>
          <w:sz w:val="22"/>
        </w:rPr>
      </w:pPr>
    </w:p>
    <w:p>
      <w:pPr>
        <w:pStyle w:val="BodyText"/>
        <w:spacing w:before="1"/>
        <w:ind w:left="121" w:right="108"/>
        <w:jc w:val="both"/>
      </w:pPr>
      <w:r>
        <w:rPr/>
        <w:t>Contra esta resolución, que pon fin á vía administrativa, unicamente cabe, en caso de desconformidade, interpoñer recurso contencioso-administrativo, no prazo de dous meses, contados desde o día seguinte á notificación desta resolución, de conformidade co previsto no artigo 8.3 a Lei 29/1998, do 13 de xullo, reguladora da xurisdición contencioso- administrativa.</w:t>
      </w:r>
    </w:p>
    <w:p>
      <w:pPr>
        <w:pStyle w:val="BodyText"/>
        <w:spacing w:before="11"/>
        <w:rPr>
          <w:sz w:val="22"/>
        </w:rPr>
      </w:pPr>
    </w:p>
    <w:p>
      <w:pPr>
        <w:pStyle w:val="BodyText"/>
        <w:spacing w:line="470" w:lineRule="auto"/>
        <w:ind w:left="121" w:right="4254"/>
      </w:pPr>
      <w:r>
        <w:rPr/>
        <w:t>Santiago de Compostela, 20 de decembro de 2017 A presidenta da Comisión da Transparencia</w:t>
      </w:r>
    </w:p>
    <w:p>
      <w:pPr>
        <w:pStyle w:val="BodyText"/>
      </w:pPr>
    </w:p>
    <w:p>
      <w:pPr>
        <w:pStyle w:val="BodyText"/>
      </w:pPr>
    </w:p>
    <w:p>
      <w:pPr>
        <w:pStyle w:val="BodyText"/>
      </w:pPr>
    </w:p>
    <w:p>
      <w:pPr>
        <w:pStyle w:val="BodyText"/>
        <w:spacing w:before="8"/>
        <w:rPr>
          <w:sz w:val="21"/>
        </w:rPr>
      </w:pPr>
    </w:p>
    <w:p>
      <w:pPr>
        <w:pStyle w:val="BodyText"/>
        <w:ind w:left="121"/>
        <w:jc w:val="both"/>
      </w:pPr>
      <w:r>
        <w:rPr/>
        <w:t>Milagros Otero Parga</w:t>
      </w:r>
    </w:p>
    <w:sectPr>
      <w:pgSz w:w="11900" w:h="16850"/>
      <w:pgMar w:header="794" w:footer="1031" w:top="182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200012pt;margin-top:779.47998pt;width:10.1pt;height:14pt;mso-position-horizontal-relative:page;mso-position-vertical-relative:page;z-index:-4624" type="#_x0000_t202" filled="false" stroked="false">
          <v:textbox inset="0,0,0,0">
            <w:txbxContent>
              <w:p>
                <w:pPr>
                  <w:pStyle w:val="BodyText"/>
                  <w:spacing w:line="264" w:lineRule="exact"/>
                  <w:ind w:left="40"/>
                </w:pPr>
                <w:r>
                  <w:rPr/>
                  <w:fldChar w:fldCharType="begin"/>
                </w:r>
                <w:r>
                  <w:rPr>
                    <w:color w:val="99CB38"/>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807">
          <wp:simplePos x="0" y="0"/>
          <wp:positionH relativeFrom="page">
            <wp:posOffset>1080135</wp:posOffset>
          </wp:positionH>
          <wp:positionV relativeFrom="page">
            <wp:posOffset>504443</wp:posOffset>
          </wp:positionV>
          <wp:extent cx="5372518" cy="65760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2518" cy="657604"/>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ind w:left="121"/>
      <w:jc w:val="both"/>
      <w:outlineLvl w:val="1"/>
    </w:pPr>
    <w:rPr>
      <w:rFonts w:ascii="Calibri" w:hAnsi="Calibri" w:eastAsia="Calibri" w:cs="Calibri"/>
      <w:b/>
      <w:bCs/>
      <w:sz w:val="24"/>
      <w:szCs w:val="24"/>
      <w:lang w:val="gl" w:eastAsia="gl" w:bidi="gl"/>
    </w:rPr>
  </w:style>
  <w:style w:styleId="ListParagraph" w:type="paragraph">
    <w:name w:val="List Paragraph"/>
    <w:basedOn w:val="Normal"/>
    <w:uiPriority w:val="1"/>
    <w:qFormat/>
    <w:pPr/>
    <w:rPr>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dcterms:created xsi:type="dcterms:W3CDTF">2018-01-10T13:30:47Z</dcterms:created>
  <dcterms:modified xsi:type="dcterms:W3CDTF">2018-01-10T13:30:47Z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2018-01-10T00:00:00Z</vt:filetime>
  </property>
  <property fmtid="{D5CDD505-2E9C-101B-9397-08002B2CF9AE}" pid="3" name="Creator">
    <vt:lpwstr>Acrobat PDFMaker 18 para Word</vt:lpwstr>
  </property>
  <property fmtid="{D5CDD505-2E9C-101B-9397-08002B2CF9AE}" pid="4" name="LastSaved">
    <vt:filetime>2018-01-10T00:00:00Z</vt:filetime>
  </property>
</Properties>
</file>