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434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31.1pt;height:60.3pt;mso-position-horizontal-relative:char;mso-position-vertical-relative:line" coordorigin="0,0" coordsize="4622,1206">
            <v:rect style="position:absolute;left:0;top:0;width:4622;height:306" filled="true" fillcolor="#000000" stroked="false">
              <v:fill type="solid"/>
            </v:rect>
            <v:rect style="position:absolute;left:0;top:292;width:1248;height:291" filled="true" fillcolor="#000000" stroked="false">
              <v:fill type="solid"/>
            </v:rect>
            <v:rect style="position:absolute;left:0;top:583;width:2328;height:306" filled="true" fillcolor="#000000" stroked="false">
              <v:fill type="solid"/>
            </v:rect>
            <v:rect style="position:absolute;left:0;top:900;width:3331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BodyText"/>
        <w:spacing w:before="52"/>
        <w:ind w:left="121"/>
      </w:pPr>
      <w:r>
        <w:rPr/>
        <w:pict>
          <v:rect style="position:absolute;margin-left:148.040039pt;margin-top:3.457913pt;width:131.9403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0083/2017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Heading1"/>
        <w:spacing w:line="242" w:lineRule="auto" w:before="1"/>
        <w:ind w:right="166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tabs>
          <w:tab w:pos="6851" w:val="left" w:leader="none"/>
        </w:tabs>
        <w:spacing w:before="1"/>
        <w:ind w:left="121" w:right="168"/>
        <w:jc w:val="both"/>
      </w:pPr>
      <w:r>
        <w:rPr/>
        <w:pict>
          <v:rect style="position:absolute;margin-left:289.639984pt;margin-top:.907954pt;width:130.8579pt;height:15.2518pt;mso-position-horizontal-relative:page;mso-position-vertical-relative:paragraph;z-index:-5584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-35"/>
        </w:rPr>
        <w:t> </w:t>
      </w:r>
      <w:r>
        <w:rPr/>
        <w:t>presentada</w:t>
      </w:r>
      <w:r>
        <w:rPr>
          <w:spacing w:val="-11"/>
        </w:rPr>
        <w:t> </w:t>
      </w:r>
      <w:r>
        <w:rPr/>
        <w:t>por</w:t>
        <w:tab/>
        <w:t>, mediante escrito do</w:t>
      </w:r>
      <w:r>
        <w:rPr>
          <w:spacing w:val="-37"/>
        </w:rPr>
        <w:t> </w:t>
      </w:r>
      <w:r>
        <w:rPr/>
        <w:t>17 de</w:t>
      </w:r>
      <w:r>
        <w:rPr>
          <w:spacing w:val="-8"/>
        </w:rPr>
        <w:t> </w:t>
      </w:r>
      <w:r>
        <w:rPr/>
        <w:t>xullo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2017,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Transparencia,</w:t>
      </w:r>
      <w:r>
        <w:rPr>
          <w:spacing w:val="-9"/>
        </w:rPr>
        <w:t> </w:t>
      </w:r>
      <w:r>
        <w:rPr/>
        <w:t>considerando</w:t>
      </w:r>
      <w:r>
        <w:rPr>
          <w:spacing w:val="-10"/>
        </w:rPr>
        <w:t> </w:t>
      </w:r>
      <w:r>
        <w:rPr/>
        <w:t>os</w:t>
      </w:r>
      <w:r>
        <w:rPr>
          <w:spacing w:val="-9"/>
        </w:rPr>
        <w:t> </w:t>
      </w:r>
      <w:r>
        <w:rPr/>
        <w:t>antecedentes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fundamentos xurídicos que se especifican a continuación, adopta a seguinte</w:t>
      </w:r>
      <w:r>
        <w:rPr>
          <w:spacing w:val="-4"/>
        </w:rPr>
        <w:t> </w:t>
      </w:r>
      <w:r>
        <w:rPr/>
        <w:t>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3788" w:val="left" w:leader="none"/>
        </w:tabs>
        <w:ind w:left="121" w:right="168"/>
        <w:jc w:val="both"/>
      </w:pPr>
      <w:r>
        <w:rPr/>
        <w:pict>
          <v:rect style="position:absolute;margin-left:132.920044pt;margin-top:.85797pt;width:131.8192pt;height:15.2518pt;mso-position-horizontal-relative:page;mso-position-vertical-relative:paragraph;z-index:-556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</w:t>
      </w:r>
      <w:r>
        <w:rPr>
          <w:spacing w:val="-26"/>
        </w:rPr>
        <w:t> </w:t>
      </w:r>
      <w:r>
        <w:rPr/>
        <w:t>do Valedor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Pobo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27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xullo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2017,</w:t>
      </w:r>
      <w:r>
        <w:rPr>
          <w:spacing w:val="-10"/>
        </w:rPr>
        <w:t> </w:t>
      </w:r>
      <w:r>
        <w:rPr/>
        <w:t>unha</w:t>
      </w:r>
      <w:r>
        <w:rPr>
          <w:spacing w:val="-10"/>
        </w:rPr>
        <w:t> </w:t>
      </w:r>
      <w:r>
        <w:rPr/>
        <w:t>reclamación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amparo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disposto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artigo 28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Lei</w:t>
      </w:r>
      <w:r>
        <w:rPr>
          <w:spacing w:val="-12"/>
        </w:rPr>
        <w:t> </w:t>
      </w:r>
      <w:r>
        <w:rPr/>
        <w:t>1/2016,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18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xaneiro,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bo</w:t>
      </w:r>
      <w:r>
        <w:rPr>
          <w:spacing w:val="-9"/>
        </w:rPr>
        <w:t> </w:t>
      </w:r>
      <w:r>
        <w:rPr/>
        <w:t>goberno,</w:t>
      </w:r>
      <w:r>
        <w:rPr>
          <w:spacing w:val="30"/>
        </w:rPr>
        <w:t> </w:t>
      </w:r>
      <w:r>
        <w:rPr/>
        <w:t>por</w:t>
      </w:r>
      <w:r>
        <w:rPr>
          <w:spacing w:val="-12"/>
        </w:rPr>
        <w:t> </w:t>
      </w:r>
      <w:r>
        <w:rPr/>
        <w:t>entender</w:t>
      </w:r>
      <w:r>
        <w:rPr>
          <w:spacing w:val="-12"/>
        </w:rPr>
        <w:t> </w:t>
      </w:r>
      <w:r>
        <w:rPr/>
        <w:t>desatendida unha solicitude de acceso á información por parte do IES Sánchez Cantón, de</w:t>
      </w:r>
      <w:r>
        <w:rPr>
          <w:spacing w:val="-19"/>
        </w:rPr>
        <w:t> </w:t>
      </w:r>
      <w:r>
        <w:rPr/>
        <w:t>Pontevedra.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A reclamante indicaba que por escrito do 19 de xuño de 2017, presentado no instituto, solicitou que se lle concedera acceso á información pública sobre os datos estatísticos xerais e específicos das probas correspondentes ás materias de química e bioloxía do alumnado do devandito centro na convocatoria ordinaria da Avaliación de Bacharelato para o acceso á universidade, previa disociación e omisión dos datos persoais dos alumnos presentados.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/>
      </w:pPr>
      <w:r>
        <w:rPr/>
        <w:t>A reclamante manifestaba, literalmente, o seguinte: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404" w:right="168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“Que en el momento de presentación de dicha solicitud, por parte de personal del centro se me informó verbalmente que dichos datos no me iban a ser facilitados, ante lo cual solicité una explicación o contestación por escrito de dicha negativa en respuesta a la solicitud formulada. A día de hoy, no he recibido ninguna respuesta a mi solicitud, ni tampoco los datos solicitados.</w:t>
      </w:r>
    </w:p>
    <w:p>
      <w:pPr>
        <w:pStyle w:val="BodyText"/>
        <w:spacing w:before="11"/>
        <w:rPr>
          <w:rFonts w:ascii="Calibri Light"/>
          <w:b w:val="0"/>
          <w:sz w:val="22"/>
        </w:rPr>
      </w:pPr>
    </w:p>
    <w:p>
      <w:pPr>
        <w:pStyle w:val="BodyText"/>
        <w:ind w:left="404" w:right="169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Durante el año 2014 y 2015, cuando mi hijo cursaba 4ºESO y 1º de Bachillerato, he cursado sendas peticiones al centro educativo, solicitando los datos estadísticos correspondientes a la convocatoria de ese año, que me fueron facilitados en el propio centro sin ningún problema, e incluso me consta, que a raíz de la primera petición que yo he formulado, los</w:t>
      </w:r>
    </w:p>
    <w:p>
      <w:pPr>
        <w:spacing w:after="0"/>
        <w:jc w:val="both"/>
        <w:rPr>
          <w:rFonts w:ascii="Calibri Light" w:hAnsi="Calibri Light"/>
        </w:rPr>
        <w:sectPr>
          <w:headerReference w:type="default" r:id="rId5"/>
          <w:type w:val="continuous"/>
          <w:pgSz w:w="11900" w:h="16850"/>
          <w:pgMar w:header="794" w:top="1820" w:bottom="280" w:left="1580" w:right="960"/>
        </w:sect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7"/>
        <w:rPr>
          <w:rFonts w:ascii="Calibri Light"/>
          <w:b w:val="0"/>
          <w:sz w:val="27"/>
        </w:rPr>
      </w:pPr>
    </w:p>
    <w:p>
      <w:pPr>
        <w:pStyle w:val="BodyText"/>
        <w:spacing w:before="51"/>
        <w:ind w:left="404" w:right="42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datos correspondientes a la convocatoria ordinaria de las PPAU se han publicado en la página web del centro, tal y como se demuestra en el pantallazo que se adjunta”.</w:t>
      </w:r>
    </w:p>
    <w:p>
      <w:pPr>
        <w:pStyle w:val="BodyText"/>
        <w:spacing w:before="10"/>
        <w:rPr>
          <w:rFonts w:ascii="Calibri Light"/>
          <w:b w:val="0"/>
          <w:sz w:val="22"/>
        </w:rPr>
      </w:pPr>
    </w:p>
    <w:p>
      <w:pPr>
        <w:pStyle w:val="BodyText"/>
        <w:spacing w:line="242" w:lineRule="auto"/>
        <w:ind w:left="121" w:right="169"/>
        <w:jc w:val="both"/>
      </w:pPr>
      <w:r>
        <w:rPr/>
        <w:t>O</w:t>
      </w:r>
      <w:r>
        <w:rPr>
          <w:spacing w:val="-4"/>
        </w:rPr>
        <w:t> </w:t>
      </w:r>
      <w:r>
        <w:rPr/>
        <w:t>escrito</w:t>
      </w:r>
      <w:r>
        <w:rPr>
          <w:spacing w:val="-3"/>
        </w:rPr>
        <w:t> </w:t>
      </w:r>
      <w:r>
        <w:rPr/>
        <w:t>viña</w:t>
      </w:r>
      <w:r>
        <w:rPr>
          <w:spacing w:val="-5"/>
        </w:rPr>
        <w:t> </w:t>
      </w:r>
      <w:r>
        <w:rPr/>
        <w:t>acompañado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copia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solicitude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á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do 19 de xuño e presentada no rexistro do centro educativo en</w:t>
      </w:r>
      <w:r>
        <w:rPr>
          <w:spacing w:val="-9"/>
        </w:rPr>
        <w:t> </w:t>
      </w:r>
      <w:r>
        <w:rPr/>
        <w:t>Pontevedra.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1" w:right="168"/>
        <w:jc w:val="both"/>
      </w:pPr>
      <w:r>
        <w:rPr>
          <w:b/>
        </w:rPr>
        <w:t>Segundo</w:t>
      </w:r>
      <w:r>
        <w:rPr/>
        <w:t>. Con data do 5 de setembro déuselle traslado da documentación achegada pola reclamante á Consellería de Cultura, Educación e Ordenación Universitaria para que, en cumprimento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normativa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transparencia,</w:t>
      </w:r>
      <w:r>
        <w:rPr>
          <w:spacing w:val="-6"/>
        </w:rPr>
        <w:t> </w:t>
      </w:r>
      <w:r>
        <w:rPr/>
        <w:t>achegase</w:t>
      </w:r>
      <w:r>
        <w:rPr>
          <w:spacing w:val="-6"/>
        </w:rPr>
        <w:t> </w:t>
      </w:r>
      <w:r>
        <w:rPr/>
        <w:t>informe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copia</w:t>
      </w:r>
      <w:r>
        <w:rPr>
          <w:spacing w:val="-6"/>
        </w:rPr>
        <w:t> </w:t>
      </w:r>
      <w:r>
        <w:rPr/>
        <w:t>completa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/>
        <w:jc w:val="both"/>
      </w:pPr>
      <w:r>
        <w:rPr/>
        <w:t>A recepción da solicitude pola administración foi o 11 de setembro.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6243" w:val="left" w:leader="none"/>
        </w:tabs>
        <w:spacing w:line="240" w:lineRule="auto" w:before="1"/>
        <w:ind w:left="121" w:right="116" w:firstLine="0"/>
        <w:jc w:val="both"/>
        <w:rPr>
          <w:rFonts w:ascii="Calibri Light" w:hAnsi="Calibri Light"/>
          <w:b w:val="0"/>
          <w:i/>
          <w:sz w:val="24"/>
        </w:rPr>
      </w:pPr>
      <w:r>
        <w:rPr/>
        <w:pict>
          <v:rect style="position:absolute;margin-left:270.560425pt;margin-top:45.091923pt;width:119.6864pt;height:14.6519pt;mso-position-horizontal-relative:page;mso-position-vertical-relative:paragraph;z-index:-5536" filled="true" fillcolor="#000000" stroked="false">
            <v:fill type="solid"/>
            <w10:wrap type="none"/>
          </v:rect>
        </w:pict>
      </w:r>
      <w:r>
        <w:rPr>
          <w:b/>
          <w:sz w:val="24"/>
        </w:rPr>
        <w:t>Terceiro</w:t>
      </w:r>
      <w:r>
        <w:rPr>
          <w:sz w:val="24"/>
        </w:rPr>
        <w:t>. Con data do 21 de setembro de 2017 se recibiu o informe da Consellería de Cultura, Educación e Ordenación Universitaria. O informe, en resumo, indicou que o IES Sánchez Cantón non é a entidade responsable da información pública á que desexa acceder a recorrente, “</w:t>
      </w:r>
      <w:r>
        <w:rPr>
          <w:rFonts w:ascii="Calibri Light" w:hAnsi="Calibri Light"/>
          <w:b w:val="0"/>
          <w:i/>
          <w:sz w:val="24"/>
        </w:rPr>
        <w:t>polo que a data</w:t>
      </w:r>
      <w:r>
        <w:rPr>
          <w:rFonts w:ascii="Calibri Light" w:hAnsi="Calibri Light"/>
          <w:b w:val="0"/>
          <w:i/>
          <w:spacing w:val="27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na</w:t>
      </w:r>
      <w:r>
        <w:rPr>
          <w:rFonts w:ascii="Calibri Light" w:hAnsi="Calibri Light"/>
          <w:b w:val="0"/>
          <w:i/>
          <w:spacing w:val="27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que</w:t>
        <w:tab/>
        <w:t>presentou as súas solicitudes neste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centro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educativo</w:t>
      </w:r>
      <w:r>
        <w:rPr>
          <w:rFonts w:ascii="Calibri Light" w:hAnsi="Calibri Light"/>
          <w:b w:val="0"/>
          <w:i/>
          <w:spacing w:val="-17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non</w:t>
      </w:r>
      <w:r>
        <w:rPr>
          <w:rFonts w:ascii="Calibri Light" w:hAnsi="Calibri Light"/>
          <w:b w:val="0"/>
          <w:i/>
          <w:spacing w:val="-14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sirve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de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referencia</w:t>
      </w:r>
      <w:r>
        <w:rPr>
          <w:rFonts w:ascii="Calibri Light" w:hAnsi="Calibri Light"/>
          <w:b w:val="0"/>
          <w:i/>
          <w:spacing w:val="-14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para</w:t>
      </w:r>
      <w:r>
        <w:rPr>
          <w:rFonts w:ascii="Calibri Light" w:hAnsi="Calibri Light"/>
          <w:b w:val="0"/>
          <w:i/>
          <w:spacing w:val="-17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computar</w:t>
      </w:r>
      <w:r>
        <w:rPr>
          <w:rFonts w:ascii="Calibri Light" w:hAnsi="Calibri Light"/>
          <w:b w:val="0"/>
          <w:i/>
          <w:spacing w:val="-17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o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prazo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establecido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no</w:t>
      </w:r>
      <w:r>
        <w:rPr>
          <w:rFonts w:ascii="Calibri Light" w:hAnsi="Calibri Light"/>
          <w:b w:val="0"/>
          <w:i/>
          <w:spacing w:val="-17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artigo</w:t>
      </w:r>
      <w:r>
        <w:rPr>
          <w:rFonts w:ascii="Calibri Light" w:hAnsi="Calibri Light"/>
          <w:b w:val="0"/>
          <w:i/>
          <w:spacing w:val="-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27.4 da Lei 1/2016, do 18 de xaneiro, de transparencia e bo goberno</w:t>
      </w:r>
      <w:r>
        <w:rPr>
          <w:rFonts w:ascii="Calibri Light" w:hAnsi="Calibri Light"/>
          <w:b w:val="0"/>
          <w:i/>
          <w:spacing w:val="-10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. </w:t>
      </w:r>
    </w:p>
    <w:p>
      <w:pPr>
        <w:pStyle w:val="BodyText"/>
        <w:spacing w:before="11"/>
        <w:rPr>
          <w:rFonts w:ascii="Calibri Light"/>
          <w:b w:val="0"/>
          <w:i/>
          <w:sz w:val="22"/>
        </w:rPr>
      </w:pPr>
    </w:p>
    <w:p>
      <w:pPr>
        <w:spacing w:line="240" w:lineRule="auto" w:before="0"/>
        <w:ind w:left="121" w:right="115" w:firstLine="0"/>
        <w:jc w:val="both"/>
        <w:rPr>
          <w:rFonts w:ascii="Calibri Light" w:hAnsi="Calibri Light"/>
          <w:b w:val="0"/>
          <w:i/>
          <w:sz w:val="24"/>
        </w:rPr>
      </w:pPr>
      <w:r>
        <w:rPr>
          <w:rFonts w:ascii="Calibri Light" w:hAnsi="Calibri Light"/>
          <w:b w:val="0"/>
          <w:i/>
          <w:sz w:val="24"/>
        </w:rPr>
        <w:t>Ningún centro educativo conta cunha oficina de rexistro auxiliar para a recepción xeral de escritos e a súa transmisión ás unidades administrativas, polo que nin se lles pode esixir respostas escritas por asuntos que non son da súa competencia, nin exercen funcións de recepción e/ou remisión de solicitudes, escritos e comunicacións para outros órganos, servizos ou unidades. </w:t>
      </w:r>
    </w:p>
    <w:p>
      <w:pPr>
        <w:pStyle w:val="BodyText"/>
        <w:spacing w:before="11"/>
        <w:rPr>
          <w:rFonts w:ascii="Calibri Light"/>
          <w:b w:val="0"/>
          <w:i/>
          <w:sz w:val="22"/>
        </w:rPr>
      </w:pPr>
    </w:p>
    <w:p>
      <w:pPr>
        <w:spacing w:line="240" w:lineRule="auto" w:before="0"/>
        <w:ind w:left="121" w:right="116" w:firstLine="0"/>
        <w:jc w:val="both"/>
        <w:rPr>
          <w:rFonts w:ascii="Calibri Light" w:hAnsi="Calibri Light"/>
          <w:b w:val="0"/>
          <w:i/>
          <w:sz w:val="24"/>
        </w:rPr>
      </w:pPr>
      <w:r>
        <w:rPr>
          <w:rFonts w:ascii="Calibri Light" w:hAnsi="Calibri Light"/>
          <w:b w:val="0"/>
          <w:i/>
          <w:sz w:val="24"/>
        </w:rPr>
        <w:t>Non obstante, aínda sen ter obriga algunha de facelo, no exercicio dunha vocación de servizo público dilixente e colaboradora, o IES Sánchez Cantón remitiu os escritos de solicitude á unidade provincial da CIUG competente para conceder ou denegar o acceso á información desexada pola recorrente. </w:t>
      </w:r>
    </w:p>
    <w:p>
      <w:pPr>
        <w:pStyle w:val="BodyText"/>
        <w:spacing w:before="12"/>
        <w:rPr>
          <w:rFonts w:ascii="Calibri Light"/>
          <w:b w:val="0"/>
          <w:i/>
          <w:sz w:val="22"/>
        </w:rPr>
      </w:pPr>
    </w:p>
    <w:p>
      <w:pPr>
        <w:tabs>
          <w:tab w:pos="8598" w:val="left" w:leader="none"/>
        </w:tabs>
        <w:spacing w:line="240" w:lineRule="auto" w:before="0"/>
        <w:ind w:left="121" w:right="101" w:firstLine="0"/>
        <w:jc w:val="both"/>
        <w:rPr>
          <w:rFonts w:ascii="Calibri Light" w:hAnsi="Calibri Light"/>
          <w:b w:val="0"/>
          <w:i/>
          <w:sz w:val="24"/>
        </w:rPr>
      </w:pPr>
      <w:r>
        <w:rPr/>
        <w:pict>
          <v:rect style="position:absolute;margin-left:389.955353pt;margin-top:1.002113pt;width:118.1263pt;height:14.6519pt;mso-position-horizontal-relative:page;mso-position-vertical-relative:paragraph;z-index:-5512" filled="true" fillcolor="#000000" stroked="false">
            <v:fill type="solid"/>
            <w10:wrap type="none"/>
          </v:rect>
        </w:pict>
      </w:r>
      <w:r>
        <w:rPr>
          <w:rFonts w:ascii="Calibri Light" w:hAnsi="Calibri Light"/>
          <w:b w:val="0"/>
          <w:i/>
          <w:sz w:val="24"/>
        </w:rPr>
        <w:t>As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solicitudes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de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acceso</w:t>
      </w:r>
      <w:r>
        <w:rPr>
          <w:rFonts w:ascii="Calibri Light" w:hAnsi="Calibri Light"/>
          <w:b w:val="0"/>
          <w:i/>
          <w:spacing w:val="10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á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información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pública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formuladas</w:t>
      </w:r>
      <w:r>
        <w:rPr>
          <w:rFonts w:ascii="Calibri Light" w:hAnsi="Calibri Light"/>
          <w:b w:val="0"/>
          <w:i/>
          <w:spacing w:val="13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por</w:t>
        <w:tab/>
        <w:t>foron</w:t>
      </w:r>
      <w:r>
        <w:rPr>
          <w:rFonts w:ascii="Calibri Light" w:hAnsi="Calibri Light"/>
          <w:b w:val="0"/>
          <w:i/>
          <w:spacing w:val="15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remitidas á unidade competente o 27.06.2017, data a partir da que se descoñece o curso dado pola CIUG ás súas</w:t>
      </w:r>
      <w:r>
        <w:rPr>
          <w:rFonts w:ascii="Calibri Light" w:hAnsi="Calibri Light"/>
          <w:b w:val="0"/>
          <w:i/>
          <w:spacing w:val="-2"/>
          <w:sz w:val="24"/>
        </w:rPr>
        <w:t> </w:t>
      </w:r>
      <w:r>
        <w:rPr>
          <w:rFonts w:ascii="Calibri Light" w:hAnsi="Calibri Light"/>
          <w:b w:val="0"/>
          <w:i/>
          <w:sz w:val="24"/>
        </w:rPr>
        <w:t>peticións”.</w:t>
      </w:r>
    </w:p>
    <w:p>
      <w:pPr>
        <w:pStyle w:val="BodyText"/>
        <w:spacing w:before="11"/>
        <w:rPr>
          <w:rFonts w:ascii="Calibri Light"/>
          <w:b w:val="0"/>
          <w:i/>
          <w:sz w:val="22"/>
        </w:rPr>
      </w:pPr>
    </w:p>
    <w:p>
      <w:pPr>
        <w:pStyle w:val="BodyText"/>
        <w:tabs>
          <w:tab w:pos="4878" w:val="left" w:leader="none"/>
        </w:tabs>
        <w:spacing w:before="1"/>
        <w:ind w:left="121" w:right="168"/>
        <w:jc w:val="both"/>
      </w:pPr>
      <w:r>
        <w:rPr/>
        <w:pict>
          <v:rect style="position:absolute;margin-left:202.397415pt;margin-top:30.308146pt;width:119.4593pt;height:15.2518pt;mso-position-horizontal-relative:page;mso-position-vertical-relative:paragraph;z-index:-5488" filled="true" fillcolor="#000000" stroked="false">
            <v:fill type="solid"/>
            <w10:wrap type="none"/>
          </v:rect>
        </w:pict>
      </w:r>
      <w:r>
        <w:rPr/>
        <w:t>De acordo co disposto na solicitude de informe da CTG, a Consellería de Cultura, Educación e Ordenación Universitaria achegou os documentos que figuraban no expediente de acceso á información</w:t>
      </w:r>
      <w:r>
        <w:rPr>
          <w:spacing w:val="20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de</w:t>
        <w:tab/>
        <w:t>: as solicitudes presentadas no IES Sánchez Cantón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oficio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remisión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solicitudes</w:t>
      </w:r>
      <w:r>
        <w:rPr>
          <w:spacing w:val="-11"/>
        </w:rPr>
        <w:t> </w:t>
      </w:r>
      <w:r>
        <w:rPr/>
        <w:t>á</w:t>
      </w:r>
      <w:r>
        <w:rPr>
          <w:spacing w:val="-11"/>
        </w:rPr>
        <w:t> </w:t>
      </w:r>
      <w:r>
        <w:rPr/>
        <w:t>unidade</w:t>
      </w:r>
      <w:r>
        <w:rPr>
          <w:spacing w:val="-11"/>
        </w:rPr>
        <w:t> </w:t>
      </w:r>
      <w:r>
        <w:rPr/>
        <w:t>provincial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CiUG</w:t>
      </w:r>
      <w:r>
        <w:rPr>
          <w:spacing w:val="-9"/>
        </w:rPr>
        <w:t> </w:t>
      </w:r>
      <w:r>
        <w:rPr/>
        <w:t>(LERD</w:t>
      </w:r>
      <w:r>
        <w:rPr>
          <w:spacing w:val="-8"/>
        </w:rPr>
        <w:t> </w:t>
      </w:r>
      <w:r>
        <w:rPr/>
        <w:t>N°.</w:t>
      </w:r>
      <w:r>
        <w:rPr>
          <w:spacing w:val="-12"/>
        </w:rPr>
        <w:t> </w:t>
      </w:r>
      <w:r>
        <w:rPr/>
        <w:t>7</w:t>
      </w:r>
      <w:r>
        <w:rPr>
          <w:spacing w:val="-8"/>
        </w:rPr>
        <w:t> </w:t>
      </w:r>
      <w:r>
        <w:rPr/>
        <w:t>Campus de Pontevedra).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580" w:right="96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68"/>
        <w:jc w:val="both"/>
      </w:pPr>
      <w:r>
        <w:rPr>
          <w:b/>
        </w:rPr>
        <w:t>Cuarto. </w:t>
      </w:r>
      <w:r>
        <w:rPr/>
        <w:t>Na data do 25 de setembro de 2017 solicitóuselle á Comisión Interuniversitaria de Galicia (CiUG) que informase á Comisión da Transparencia sobre a reclamación e achegase copia completa e ordenada do expediente.</w:t>
      </w:r>
    </w:p>
    <w:p>
      <w:pPr>
        <w:pStyle w:val="BodyText"/>
        <w:rPr>
          <w:sz w:val="23"/>
        </w:rPr>
      </w:pPr>
    </w:p>
    <w:p>
      <w:pPr>
        <w:pStyle w:val="BodyText"/>
        <w:ind w:left="121"/>
        <w:jc w:val="both"/>
      </w:pPr>
      <w:r>
        <w:rPr/>
        <w:t>A recepción da solicitude pola CiUG foi o 28 de setembro.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21" w:right="168"/>
        <w:jc w:val="both"/>
      </w:pPr>
      <w:r>
        <w:rPr/>
        <w:pict>
          <v:rect style="position:absolute;margin-left:447.317474pt;margin-top:30.307831pt;width:90.0626pt;height:15.2518pt;mso-position-horizontal-relative:page;mso-position-vertical-relative:paragraph;z-index:-5464" filled="true" fillcolor="#000000" stroked="false">
            <v:fill type="solid"/>
            <w10:wrap type="none"/>
          </v:rect>
        </w:pict>
      </w:r>
      <w:r>
        <w:rPr/>
        <w:t>O informe, en síntese, indicaba que con data de 14 de xullo de 2017 e Rexistro de entrada na CiUG nº 176 de 19 de xullo de 2017, a través do LERD nº 7 con sede en Pontevedra, recibiuse nesa Comisión Interuniversitaria de Galicia escrito asinado por dona</w:t>
      </w:r>
    </w:p>
    <w:p>
      <w:pPr>
        <w:pStyle w:val="BodyText"/>
        <w:tabs>
          <w:tab w:pos="8382" w:val="left" w:leader="none"/>
        </w:tabs>
        <w:spacing w:before="1"/>
        <w:ind w:left="121" w:right="168" w:firstLine="1022"/>
        <w:jc w:val="both"/>
      </w:pPr>
      <w:r>
        <w:rPr/>
        <w:pict>
          <v:rect style="position:absolute;margin-left:84.080078pt;margin-top:.907891pt;width:51.06pt;height:15.2517pt;mso-position-horizontal-relative:page;mso-position-vertical-relative:paragraph;z-index:-5440" filled="true" fillcolor="#000000" stroked="false">
            <v:fill type="solid"/>
            <w10:wrap type="none"/>
          </v:rect>
        </w:pict>
      </w:r>
      <w:r>
        <w:rPr/>
        <w:pict>
          <v:rect style="position:absolute;margin-left:372.313263pt;margin-top:15.547891pt;width:120.4193pt;height:15.2517pt;mso-position-horizontal-relative:page;mso-position-vertical-relative:paragraph;z-index:-5416" filled="true" fillcolor="#000000" stroked="false">
            <v:fill type="solid"/>
            <w10:wrap type="none"/>
          </v:rect>
        </w:pict>
      </w:r>
      <w:r>
        <w:rPr/>
        <w:t>, do IES Sánchez Cantón de Pontevedra indicando "achégamosvos dúas solicitudes de  información  sobre as notas  das ABAU </w:t>
      </w:r>
      <w:r>
        <w:rPr>
          <w:spacing w:val="6"/>
        </w:rPr>
        <w:t> </w:t>
      </w:r>
      <w:r>
        <w:rPr/>
        <w:t>formulada</w:t>
      </w:r>
      <w:r>
        <w:rPr>
          <w:spacing w:val="32"/>
        </w:rPr>
        <w:t> </w:t>
      </w:r>
      <w:r>
        <w:rPr/>
        <w:t>por</w:t>
        <w:tab/>
        <w:t>que nos presentou</w:t>
      </w:r>
      <w:r>
        <w:rPr>
          <w:spacing w:val="-5"/>
        </w:rPr>
        <w:t> </w:t>
      </w:r>
      <w:r>
        <w:rPr/>
        <w:t>neste</w:t>
      </w:r>
      <w:r>
        <w:rPr>
          <w:spacing w:val="-6"/>
        </w:rPr>
        <w:t> </w:t>
      </w:r>
      <w:r>
        <w:rPr/>
        <w:t>centro.</w:t>
      </w:r>
      <w:r>
        <w:rPr>
          <w:spacing w:val="-9"/>
        </w:rPr>
        <w:t> </w:t>
      </w:r>
      <w:r>
        <w:rPr/>
        <w:t>Dende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Servizo</w:t>
      </w:r>
      <w:r>
        <w:rPr>
          <w:spacing w:val="-6"/>
        </w:rPr>
        <w:t> </w:t>
      </w:r>
      <w:r>
        <w:rPr/>
        <w:t>Territorial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infórmannos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é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CiUGA (sic) a que dispón deses</w:t>
      </w:r>
      <w:r>
        <w:rPr>
          <w:spacing w:val="-5"/>
        </w:rPr>
        <w:t> </w:t>
      </w:r>
      <w:r>
        <w:rPr/>
        <w:t>datos."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21" w:right="168"/>
        <w:jc w:val="both"/>
      </w:pPr>
      <w:r>
        <w:rPr/>
        <w:t>O informe sinala que os datos correspondentes ás probas de Avaliación do Bacharelato para o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á</w:t>
      </w:r>
      <w:r>
        <w:rPr>
          <w:spacing w:val="-7"/>
        </w:rPr>
        <w:t> </w:t>
      </w:r>
      <w:r>
        <w:rPr/>
        <w:t>Universidade</w:t>
      </w:r>
      <w:r>
        <w:rPr>
          <w:spacing w:val="-9"/>
        </w:rPr>
        <w:t> </w:t>
      </w:r>
      <w:r>
        <w:rPr/>
        <w:t>(ABAU)</w:t>
      </w:r>
      <w:r>
        <w:rPr>
          <w:spacing w:val="-6"/>
        </w:rPr>
        <w:t> </w:t>
      </w:r>
      <w:r>
        <w:rPr/>
        <w:t>son</w:t>
      </w:r>
      <w:r>
        <w:rPr>
          <w:spacing w:val="-4"/>
        </w:rPr>
        <w:t> </w:t>
      </w:r>
      <w:r>
        <w:rPr/>
        <w:t>elaborados</w:t>
      </w:r>
      <w:r>
        <w:rPr>
          <w:spacing w:val="-5"/>
        </w:rPr>
        <w:t> </w:t>
      </w:r>
      <w:r>
        <w:rPr/>
        <w:t>polos</w:t>
      </w:r>
      <w:r>
        <w:rPr>
          <w:spacing w:val="-5"/>
        </w:rPr>
        <w:t> </w:t>
      </w:r>
      <w:r>
        <w:rPr/>
        <w:t>responsables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aplicación</w:t>
      </w:r>
      <w:r>
        <w:rPr>
          <w:spacing w:val="-4"/>
        </w:rPr>
        <w:t> </w:t>
      </w:r>
      <w:r>
        <w:rPr/>
        <w:t>informática NERTA (Artigo 189.5 da Orde do 24 de marzo de 2011 (DOG nº 66, de 4 de abril) pola que se regulan as probas de acceso ás ensinanzas universitarias oficiais de grao e o proceso de admisión ás tres universidades do sistema universitario de Galicia) unha vez finalizados os procesos de reclamación. No curso 2016-2017, a partir do día 28 de xuño de</w:t>
      </w:r>
      <w:r>
        <w:rPr>
          <w:spacing w:val="-14"/>
        </w:rPr>
        <w:t> </w:t>
      </w:r>
      <w:r>
        <w:rPr/>
        <w:t>2017.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1" w:right="167"/>
        <w:jc w:val="both"/>
      </w:pPr>
      <w:r>
        <w:rPr/>
        <w:t>Finalizados os procesos de reclamación e resolución das mesmas (28 de xuño de 2017) polo Tribunal</w:t>
      </w:r>
      <w:r>
        <w:rPr>
          <w:spacing w:val="-9"/>
        </w:rPr>
        <w:t> </w:t>
      </w:r>
      <w:r>
        <w:rPr/>
        <w:t>Único</w:t>
      </w:r>
      <w:r>
        <w:rPr>
          <w:spacing w:val="-8"/>
        </w:rPr>
        <w:t> </w:t>
      </w:r>
      <w:r>
        <w:rPr/>
        <w:t>das</w:t>
      </w:r>
      <w:r>
        <w:rPr>
          <w:spacing w:val="-11"/>
        </w:rPr>
        <w:t> </w:t>
      </w:r>
      <w:r>
        <w:rPr/>
        <w:t>probas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Avaliación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Bacharelato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á</w:t>
      </w:r>
      <w:r>
        <w:rPr>
          <w:spacing w:val="-11"/>
        </w:rPr>
        <w:t> </w:t>
      </w:r>
      <w:r>
        <w:rPr/>
        <w:t>Universidade</w:t>
      </w:r>
      <w:r>
        <w:rPr>
          <w:spacing w:val="-11"/>
        </w:rPr>
        <w:t> </w:t>
      </w:r>
      <w:r>
        <w:rPr/>
        <w:t>(ABAU), todos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cada</w:t>
      </w:r>
      <w:r>
        <w:rPr>
          <w:spacing w:val="-16"/>
        </w:rPr>
        <w:t> </w:t>
      </w:r>
      <w:r>
        <w:rPr/>
        <w:t>un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/>
        <w:t>centros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Bacharelato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/>
        <w:t>Comunidade</w:t>
      </w:r>
      <w:r>
        <w:rPr>
          <w:spacing w:val="-15"/>
        </w:rPr>
        <w:t> </w:t>
      </w:r>
      <w:r>
        <w:rPr/>
        <w:t>Autónoma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Galicia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alumnos nas anteditas probas ABAU poden acceder aos datos correspondentes a través da aplicación informática</w:t>
      </w:r>
      <w:r>
        <w:rPr>
          <w:spacing w:val="-2"/>
        </w:rPr>
        <w:t> </w:t>
      </w:r>
      <w:r>
        <w:rPr/>
        <w:t>NERTA.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O informe da CiUG remata sinalando que, se ben é certo que, como lle informou o Servizo Territorial de Educación ao IES Sánchez Cantón, a CiUG dispón —a través da aplicación informática NERTA- deses datos a partir da finalización os procesos de reclamación e resolución das mesmas polo Tribunal Único das probas de Avaliación do Bacharelato para o Acceso á Universidade (ABAU), non é menos certo que todos e cada un dos centros de Bacharelato dispón dos datos que lle corresponden. E tal é así que, como se pode comprobar no informe que se xunta ao seu escrito, foi o IES Sánchez Cantón quen lle aportou os datos á interesada.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8"/>
        <w:jc w:val="both"/>
      </w:pPr>
      <w:r>
        <w:rPr>
          <w:b/>
        </w:rPr>
        <w:t>Quinto. </w:t>
      </w:r>
      <w:r>
        <w:rPr/>
        <w:t>Por oficio da secretaria da Comisión da Transparencia, na data do 16 de outubro solicitóuselle á CiUG que aclarase quen era o suxeito que elaboraba tales datos no exercicio das súas funcións. O escrito da Comisión foi rexistrado na CiUG o día 20 de outubro.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68"/>
        <w:jc w:val="both"/>
      </w:pPr>
      <w:r>
        <w:rPr/>
        <w:t>Con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27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CiUG</w:t>
      </w:r>
      <w:r>
        <w:rPr>
          <w:spacing w:val="-7"/>
        </w:rPr>
        <w:t> </w:t>
      </w:r>
      <w:r>
        <w:rPr/>
        <w:t>respondeu</w:t>
      </w:r>
      <w:r>
        <w:rPr>
          <w:spacing w:val="-5"/>
        </w:rPr>
        <w:t> </w:t>
      </w:r>
      <w:r>
        <w:rPr/>
        <w:t>xuntando</w:t>
      </w:r>
      <w:r>
        <w:rPr>
          <w:spacing w:val="-6"/>
        </w:rPr>
        <w:t> </w:t>
      </w:r>
      <w:r>
        <w:rPr/>
        <w:t>copia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relativos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instituto Sánchez</w:t>
      </w:r>
      <w:r>
        <w:rPr>
          <w:spacing w:val="-5"/>
        </w:rPr>
        <w:t> </w:t>
      </w:r>
      <w:r>
        <w:rPr/>
        <w:t>Cantón</w:t>
      </w:r>
      <w:r>
        <w:rPr>
          <w:spacing w:val="-8"/>
        </w:rPr>
        <w:t> </w:t>
      </w:r>
      <w:r>
        <w:rPr/>
        <w:t>correspondentes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probas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ABAU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xuño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2017,</w:t>
      </w:r>
      <w:r>
        <w:rPr>
          <w:spacing w:val="-6"/>
        </w:rPr>
        <w:t> </w:t>
      </w:r>
      <w:r>
        <w:rPr/>
        <w:t>insistindo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tales datos os teñen a súa disposición os</w:t>
      </w:r>
      <w:r>
        <w:rPr>
          <w:spacing w:val="-8"/>
        </w:rPr>
        <w:t> </w:t>
      </w:r>
      <w:r>
        <w:rPr/>
        <w:t>centros.</w:t>
      </w:r>
    </w:p>
    <w:p>
      <w:pPr>
        <w:pStyle w:val="BodyText"/>
        <w:rPr>
          <w:sz w:val="23"/>
        </w:rPr>
      </w:pPr>
    </w:p>
    <w:p>
      <w:pPr>
        <w:pStyle w:val="BodyText"/>
        <w:ind w:left="121"/>
        <w:jc w:val="both"/>
      </w:pPr>
      <w:r>
        <w:rPr/>
        <w:t>FUNDAMENTOS XURÍDICOS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1"/>
      </w:pPr>
      <w:r>
        <w:rPr/>
        <w:t>Primeiro. Competencia e normativa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21" w:right="167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1" w:right="169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69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69"/>
        <w:jc w:val="both"/>
      </w:pPr>
      <w:r>
        <w:rPr/>
        <w:t>O artigo 28.3 da Lei 1/2016, do 18 de xaneiro preceptúa que o procedemento se axustará ao previsto</w:t>
      </w:r>
      <w:r>
        <w:rPr>
          <w:spacing w:val="-15"/>
        </w:rPr>
        <w:t> </w:t>
      </w:r>
      <w:r>
        <w:rPr/>
        <w:t>nos</w:t>
      </w:r>
      <w:r>
        <w:rPr>
          <w:spacing w:val="-16"/>
        </w:rPr>
        <w:t> </w:t>
      </w:r>
      <w:r>
        <w:rPr/>
        <w:t>números</w:t>
      </w:r>
      <w:r>
        <w:rPr>
          <w:spacing w:val="-16"/>
        </w:rPr>
        <w:t> </w:t>
      </w:r>
      <w:r>
        <w:rPr/>
        <w:t>2,</w:t>
      </w:r>
      <w:r>
        <w:rPr>
          <w:spacing w:val="-16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4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5"/>
        </w:rPr>
        <w:t> </w:t>
      </w:r>
      <w:r>
        <w:rPr/>
        <w:t>24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8"/>
        </w:rPr>
        <w:t> </w:t>
      </w:r>
      <w:r>
        <w:rPr/>
        <w:t>19/2013,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6"/>
        </w:rPr>
        <w:t> </w:t>
      </w:r>
      <w:r>
        <w:rPr/>
        <w:t>lei</w:t>
      </w:r>
      <w:r>
        <w:rPr>
          <w:spacing w:val="-16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8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Terceiro. Dereito de acceso á información pública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40" w:lineRule="auto" w:before="1"/>
        <w:ind w:left="121" w:right="16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794" w:footer="1031" w:top="1820" w:bottom="1220" w:left="1580" w:right="9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before="51"/>
        <w:ind w:left="121" w:right="16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21" w:right="168"/>
        <w:jc w:val="both"/>
      </w:pPr>
      <w:r>
        <w:rPr/>
        <w:t>O recurso substitutivo contra a desestimación por silencio da solicitude de acceso á información foi presentado no rexistro da Deputación de Pontevedra o día 17 de xullo, antes do transcurso do prazo dun mes de que dispón o órgano competente para resolver sobre a petición e notificala. Debemos lembrar que a solicitude de acceso á información foi presentada no IES Sánchez Cantón o día 19 de xuño de 2017.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Xa que logo, o recurso substitutivo debe ser inadmitido por non terse esgotado o prazo máximo</w:t>
      </w:r>
      <w:r>
        <w:rPr>
          <w:spacing w:val="-8"/>
        </w:rPr>
        <w:t> </w:t>
      </w:r>
      <w:r>
        <w:rPr/>
        <w:t>conferido</w:t>
      </w:r>
      <w:r>
        <w:rPr>
          <w:spacing w:val="-11"/>
        </w:rPr>
        <w:t> </w:t>
      </w:r>
      <w:r>
        <w:rPr/>
        <w:t>á</w:t>
      </w:r>
      <w:r>
        <w:rPr>
          <w:spacing w:val="-11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resolver</w:t>
      </w:r>
      <w:r>
        <w:rPr>
          <w:spacing w:val="-13"/>
        </w:rPr>
        <w:t> </w:t>
      </w:r>
      <w:r>
        <w:rPr/>
        <w:t>sobre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concesión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denegación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acceso. Como establece a lei o prazo compútase desde a recepción da solicitude polo órgano competente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resolver.</w:t>
      </w:r>
      <w:r>
        <w:rPr>
          <w:spacing w:val="-10"/>
        </w:rPr>
        <w:t> </w:t>
      </w:r>
      <w:r>
        <w:rPr/>
        <w:t>Consta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expediente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IES</w:t>
      </w:r>
      <w:r>
        <w:rPr>
          <w:spacing w:val="-12"/>
        </w:rPr>
        <w:t> </w:t>
      </w:r>
      <w:r>
        <w:rPr/>
        <w:t>Sánchez</w:t>
      </w:r>
      <w:r>
        <w:rPr>
          <w:spacing w:val="-11"/>
        </w:rPr>
        <w:t> </w:t>
      </w:r>
      <w:r>
        <w:rPr/>
        <w:t>Cantón</w:t>
      </w:r>
      <w:r>
        <w:rPr>
          <w:spacing w:val="-9"/>
        </w:rPr>
        <w:t> </w:t>
      </w:r>
      <w:r>
        <w:rPr/>
        <w:t>remitiu</w:t>
      </w:r>
      <w:r>
        <w:rPr>
          <w:spacing w:val="-11"/>
        </w:rPr>
        <w:t> </w:t>
      </w:r>
      <w:r>
        <w:rPr/>
        <w:t>os</w:t>
      </w:r>
      <w:r>
        <w:rPr>
          <w:spacing w:val="-12"/>
        </w:rPr>
        <w:t> </w:t>
      </w:r>
      <w:r>
        <w:rPr/>
        <w:t>escritos de solicitude á unidade provincial da CiUG –órgano competente para conceder ou denegar o acceso á información desexada pola recorrente– o día 27 de xuño de 2017. Consta tamén no expediente que se recibiron a través do LERD nº 7 con sede en Pontevedra con data de 14 de xullo de 2017 e que se rexistrou a súa entrada na CiUG o 19 de xullo de</w:t>
      </w:r>
      <w:r>
        <w:rPr>
          <w:spacing w:val="-15"/>
        </w:rPr>
        <w:t> </w:t>
      </w:r>
      <w:r>
        <w:rPr/>
        <w:t>2017.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1" w:right="167"/>
        <w:jc w:val="both"/>
      </w:pPr>
      <w:r>
        <w:rPr>
          <w:b/>
        </w:rPr>
        <w:t>Quinto. </w:t>
      </w:r>
      <w:r>
        <w:rPr/>
        <w:t>Neste expediente débese salientar o retraso na recepción da solicitude polo órgano competente. Cómpre destacar que a CiUG non informa sobre se se lle deu traslado á reclamante da información solicitada e que unicamente se insiste en que os datos os teñen a súa disposición os centros. En ningún momento se lle informou á reclamante que os datos correspondentes</w:t>
      </w:r>
      <w:r>
        <w:rPr>
          <w:spacing w:val="-14"/>
        </w:rPr>
        <w:t> </w:t>
      </w:r>
      <w:r>
        <w:rPr/>
        <w:t>ás</w:t>
      </w:r>
      <w:r>
        <w:rPr>
          <w:spacing w:val="-16"/>
        </w:rPr>
        <w:t> </w:t>
      </w:r>
      <w:r>
        <w:rPr/>
        <w:t>probas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Avaliación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Bacharelato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Acceso</w:t>
      </w:r>
      <w:r>
        <w:rPr>
          <w:spacing w:val="-13"/>
        </w:rPr>
        <w:t> </w:t>
      </w:r>
      <w:r>
        <w:rPr/>
        <w:t>á</w:t>
      </w:r>
      <w:r>
        <w:rPr>
          <w:spacing w:val="-13"/>
        </w:rPr>
        <w:t> </w:t>
      </w:r>
      <w:r>
        <w:rPr/>
        <w:t>Universidade</w:t>
      </w:r>
      <w:r>
        <w:rPr>
          <w:spacing w:val="-13"/>
        </w:rPr>
        <w:t> </w:t>
      </w:r>
      <w:r>
        <w:rPr/>
        <w:t>(ABAU) son elaborados polos responsables da aplicación informática NERTA, e que finalizados os procesos de reclamación e resolución das mesmas polo Tribunal Único das probas (o día 28 de xuño de 2017, no curso académico 16-17), todos e cada un dos centros de Bacharelato da Comunidade Autónoma de Galicia con alumnos nas anteditas probas ABAU poden acceder aos datos correspondentes a través da aplicación informática</w:t>
      </w:r>
      <w:r>
        <w:rPr>
          <w:spacing w:val="-8"/>
        </w:rPr>
        <w:t> </w:t>
      </w:r>
      <w:r>
        <w:rPr/>
        <w:t>NERTA.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Deste modo a reclamante coñecería o momento no que a información requirida estaría elaborada e o órgano competente para resolver sobre a súa solicitude, o que lle permitiría tamén ter coñecemento do prazo máximo para recibir a resolución ou entendela denegada por silencio e actuar no sentido máis convinte aos seus intereses.</w:t>
      </w:r>
    </w:p>
    <w:p>
      <w:pPr>
        <w:pStyle w:val="BodyText"/>
        <w:rPr>
          <w:sz w:val="23"/>
        </w:rPr>
      </w:pPr>
    </w:p>
    <w:p>
      <w:pPr>
        <w:pStyle w:val="BodyText"/>
        <w:spacing w:line="242" w:lineRule="auto"/>
        <w:ind w:left="121" w:right="168"/>
        <w:jc w:val="both"/>
      </w:pPr>
      <w:r>
        <w:rPr/>
        <w:t>Xa que logo, neste expediente non se deu un adecuado cumprimento das obrigas en materia de transparencia e acceso á información pública. Malia isto, a reclamación non pode ser</w:t>
      </w:r>
    </w:p>
    <w:p>
      <w:pPr>
        <w:spacing w:after="0" w:line="242" w:lineRule="auto"/>
        <w:jc w:val="both"/>
        <w:sectPr>
          <w:pgSz w:w="11900" w:h="16850"/>
          <w:pgMar w:header="794" w:footer="1031" w:top="1820" w:bottom="1220" w:left="15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42"/>
      </w:pPr>
      <w:r>
        <w:rPr/>
        <w:t>admitida ao non ter transcorrido o prazo legal co que conta o órgano competente para resolver sobre a solicitude de acceso á información.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1"/>
        <w:jc w:val="both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/>
        <w:jc w:val="both"/>
      </w:pPr>
      <w:r>
        <w:rPr/>
        <w:t>En atención  aos anteriores antecedentes, fundamentos xurídicos, procede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/>
        <w:pict>
          <v:rect style="position:absolute;margin-left:451.159973pt;margin-top:.857737pt;width:86.2672pt;height:15.2518pt;mso-position-horizontal-relative:page;mso-position-vertical-relative:paragraph;z-index:1264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: Inadmitir a reclamación do 17 de xullo de 2017, presentada por</w:t>
      </w:r>
    </w:p>
    <w:p>
      <w:pPr>
        <w:pStyle w:val="BodyText"/>
        <w:ind w:left="121" w:right="168" w:firstLine="880"/>
        <w:jc w:val="both"/>
      </w:pPr>
      <w:r>
        <w:rPr/>
        <w:pict>
          <v:rect style="position:absolute;margin-left:84.079987pt;margin-top:.857784pt;width:44.1001pt;height:15.2518pt;mso-position-horizontal-relative:page;mso-position-vertical-relative:paragraph;z-index:-5368" filled="true" fillcolor="#000000" stroked="false">
            <v:fill type="solid"/>
            <w10:wrap type="none"/>
          </v:rect>
        </w:pict>
      </w:r>
      <w:r>
        <w:rPr/>
        <w:t>,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data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rexistro</w:t>
      </w:r>
      <w:r>
        <w:rPr>
          <w:spacing w:val="-14"/>
        </w:rPr>
        <w:t> </w:t>
      </w:r>
      <w:r>
        <w:rPr/>
        <w:t>no</w:t>
      </w:r>
      <w:r>
        <w:rPr>
          <w:spacing w:val="-17"/>
        </w:rPr>
        <w:t> </w:t>
      </w:r>
      <w:r>
        <w:rPr/>
        <w:t>Valedor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Pobo</w:t>
      </w:r>
      <w:r>
        <w:rPr>
          <w:spacing w:val="-17"/>
        </w:rPr>
        <w:t> </w:t>
      </w:r>
      <w:r>
        <w:rPr/>
        <w:t>do</w:t>
      </w:r>
      <w:r>
        <w:rPr>
          <w:spacing w:val="-14"/>
        </w:rPr>
        <w:t> </w:t>
      </w:r>
      <w:r>
        <w:rPr/>
        <w:t>27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xullo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2017,</w:t>
      </w:r>
      <w:r>
        <w:rPr>
          <w:spacing w:val="-15"/>
        </w:rPr>
        <w:t> </w:t>
      </w:r>
      <w:r>
        <w:rPr/>
        <w:t>contra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denegación por silencio do acceso á información por parte da Comisión Interuniversitaria de Galicia por non ter transcorrido o prazo legal conferido para resolver sobre a petición e</w:t>
      </w:r>
      <w:r>
        <w:rPr>
          <w:spacing w:val="-18"/>
        </w:rPr>
        <w:t> </w:t>
      </w:r>
      <w:r>
        <w:rPr/>
        <w:t>notificala.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468" w:lineRule="auto"/>
        <w:ind w:left="121" w:right="4314"/>
      </w:pPr>
      <w:r>
        <w:rPr/>
        <w:t>Santiago de Compostela, 20 de decembro de 2017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5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60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823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l" w:eastAsia="gl" w:bidi="g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gl" w:eastAsia="gl" w:bidi="gl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gl" w:eastAsia="gl" w:bidi="gl"/>
    </w:rPr>
  </w:style>
  <w:style w:styleId="ListParagraph" w:type="paragraph">
    <w:name w:val="List Paragraph"/>
    <w:basedOn w:val="Normal"/>
    <w:uiPriority w:val="1"/>
    <w:qFormat/>
    <w:pPr/>
    <w:rPr>
      <w:lang w:val="gl" w:eastAsia="gl" w:bidi="gl"/>
    </w:rPr>
  </w:style>
  <w:style w:styleId="TableParagraph" w:type="paragraph">
    <w:name w:val="Table Paragraph"/>
    <w:basedOn w:val="Normal"/>
    <w:uiPriority w:val="1"/>
    <w:qFormat/>
    <w:pPr/>
    <w:rPr>
      <w:lang w:val="gl" w:eastAsia="gl" w:bidi="g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2018-01-10T14:12:57Z</dcterms:created>
  <dcterms:modified xsi:type="dcterms:W3CDTF">2018-01-10T14:12:57Z</dcterms:modified>
</cp:coreProperties>
</file>