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503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5.55pt;height:88.6pt;mso-position-horizontal-relative:char;mso-position-vertical-relative:line" coordorigin="0,0" coordsize="4111,1772">
            <v:rect style="position:absolute;left:0;top:0;width:2927;height:306" filled="true" fillcolor="#000000" stroked="false">
              <v:fill type="solid"/>
            </v:rect>
            <v:rect style="position:absolute;left:55;top:292;width:1155;height:306" filled="true" fillcolor="#000000" stroked="false">
              <v:fill type="solid"/>
            </v:rect>
            <v:rect style="position:absolute;left:1442;top:292;width:246;height:293" filled="true" fillcolor="#000000" stroked="false">
              <v:fill type="solid"/>
            </v:rect>
            <v:rect style="position:absolute;left:1922;top:292;width:795;height:306" filled="true" fillcolor="#000000" stroked="false">
              <v:fill type="solid"/>
            </v:rect>
            <v:rect style="position:absolute;left:2951;top:292;width:303;height:306" filled="true" fillcolor="#000000" stroked="false">
              <v:fill type="solid"/>
            </v:rect>
            <v:rect style="position:absolute;left:0;top:585;width:914;height:296" filled="true" fillcolor="#000000" stroked="false">
              <v:fill type="solid"/>
            </v:rect>
            <v:rect style="position:absolute;left:1231;top:585;width:919;height:306" filled="true" fillcolor="#000000" stroked="false">
              <v:fill type="solid"/>
            </v:rect>
            <v:rect style="position:absolute;left:2464;top:585;width:247;height:306" filled="true" fillcolor="#000000" stroked="false">
              <v:fill type="solid"/>
            </v:rect>
            <v:rect style="position:absolute;left:3489;top:292;width:622;height:306" filled="true" fillcolor="#000000" stroked="false">
              <v:fill type="solid"/>
            </v:rect>
            <v:rect style="position:absolute;left:3028;top:585;width:648;height:306" filled="true" fillcolor="#000000" stroked="false">
              <v:fill type="solid"/>
            </v:rect>
            <v:line style="position:absolute" from="4051,586" to="4051,891" stroked="true" strokeweight="5.976pt" strokecolor="#000000">
              <v:stroke dashstyle="solid"/>
            </v:line>
            <v:rect style="position:absolute;left:0;top:880;width:1916;height:293" filled="true" fillcolor="#000000" stroked="false">
              <v:fill type="solid"/>
            </v:rect>
            <v:rect style="position:absolute;left:0;top:1173;width:4018;height:306" filled="true" fillcolor="#000000" stroked="false">
              <v:fill type="solid"/>
            </v:rect>
            <v:rect style="position:absolute;left:0;top:1466;width:1776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35" w:lineRule="exact"/>
        <w:ind w:left="101"/>
      </w:pPr>
      <w:r>
        <w:rPr/>
        <w:pict>
          <v:rect style="position:absolute;margin-left:147.800018pt;margin-top:-2.0399pt;width:92.0267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107/2017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/>
      </w:pPr>
      <w:r>
        <w:rPr/>
        <w:pict>
          <v:rect style="position:absolute;margin-left:180.919983pt;margin-top:.857915pt;width:149.2654pt;height:15.2518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right="107"/>
      </w:pPr>
      <w:r>
        <w:rPr/>
        <w:t>ASUNTO: Resolución da Comisión da Transparencia de Galicia na reclamación presentada ao amparo da disposición adicional quinta da Lei 1/2016, do 18 de xaneiro, de transparencia e bo goberno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2119" w:val="left" w:leader="none"/>
          <w:tab w:pos="6492" w:val="left" w:leader="none"/>
        </w:tabs>
        <w:ind w:left="101" w:right="108"/>
        <w:jc w:val="both"/>
      </w:pPr>
      <w:r>
        <w:rPr/>
        <w:pict>
          <v:rect style="position:absolute;margin-left:291.436951pt;margin-top:.857793pt;width:112.1419pt;height:15.2518pt;mso-position-horizontal-relative:page;mso-position-vertical-relative:paragraph;z-index:-4576" filled="true" fillcolor="#000000" stroked="false">
            <v:fill type="solid"/>
            <w10:wrap type="none"/>
          </v:rect>
        </w:pict>
      </w:r>
      <w:r>
        <w:rPr/>
        <w:pict>
          <v:rect style="position:absolute;margin-left:103.64003pt;margin-top:15.497793pt;width:81.3468pt;height:15.2518pt;mso-position-horizontal-relative:page;mso-position-vertical-relative:paragraph;z-index:-4552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12"/>
        </w:rPr>
        <w:t> </w:t>
      </w:r>
      <w:r>
        <w:rPr/>
        <w:t>presentada</w:t>
      </w:r>
      <w:r>
        <w:rPr>
          <w:spacing w:val="-6"/>
        </w:rPr>
        <w:t> </w:t>
      </w:r>
      <w:r>
        <w:rPr/>
        <w:t>por</w:t>
        <w:tab/>
        <w:t>, en nome e</w:t>
      </w:r>
      <w:r>
        <w:rPr>
          <w:spacing w:val="-17"/>
        </w:rPr>
        <w:t> </w:t>
      </w:r>
      <w:r>
        <w:rPr/>
        <w:t>representación de</w:t>
        <w:tab/>
        <w:t>, mediante escrito do 20 de novembro de 2017, a Comisión da Transparencia, considerando os antecedentes e fundamentos xurídicos que se especifican a continuación, adopta a seguinte resolución: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tabs>
          <w:tab w:pos="2796" w:val="left" w:leader="none"/>
        </w:tabs>
        <w:spacing w:before="1"/>
        <w:ind w:left="101" w:right="108"/>
        <w:jc w:val="both"/>
      </w:pPr>
      <w:r>
        <w:rPr/>
        <w:pict>
          <v:rect style="position:absolute;margin-left:133.880005pt;margin-top:.90777pt;width:81.2281pt;height:15.2518pt;mso-position-horizontal-relative:page;mso-position-vertical-relative:paragraph;z-index:-4528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20 de novembro de 2017, unha reclamación ao amparo do disposto na disposición adicional quinta da Lei 1/2016, do 18 de xaneiro, de transparencia e bo goberno, por entender desatendida unha solicitude de acceso á información por parte do Concello de Viveiro.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11"/>
        <w:jc w:val="both"/>
      </w:pPr>
      <w:r>
        <w:rPr/>
        <w:t>O</w:t>
      </w:r>
      <w:r>
        <w:rPr>
          <w:spacing w:val="-14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viña</w:t>
      </w:r>
      <w:r>
        <w:rPr>
          <w:spacing w:val="-13"/>
        </w:rPr>
        <w:t> </w:t>
      </w:r>
      <w:r>
        <w:rPr/>
        <w:t>acompañado</w:t>
      </w:r>
      <w:r>
        <w:rPr>
          <w:spacing w:val="-13"/>
        </w:rPr>
        <w:t> </w:t>
      </w:r>
      <w:r>
        <w:rPr/>
        <w:t>dun</w:t>
      </w:r>
      <w:r>
        <w:rPr>
          <w:spacing w:val="-15"/>
        </w:rPr>
        <w:t> </w:t>
      </w:r>
      <w:r>
        <w:rPr/>
        <w:t>escrito</w:t>
      </w:r>
      <w:r>
        <w:rPr>
          <w:spacing w:val="-15"/>
        </w:rPr>
        <w:t> </w:t>
      </w:r>
      <w:r>
        <w:rPr/>
        <w:t>dirixido</w:t>
      </w:r>
      <w:r>
        <w:rPr>
          <w:spacing w:val="-13"/>
        </w:rPr>
        <w:t> </w:t>
      </w:r>
      <w:r>
        <w:rPr/>
        <w:t>ao</w:t>
      </w:r>
      <w:r>
        <w:rPr>
          <w:spacing w:val="-15"/>
        </w:rPr>
        <w:t> </w:t>
      </w:r>
      <w:r>
        <w:rPr/>
        <w:t>Concello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Viveiro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sinatura</w:t>
      </w:r>
      <w:r>
        <w:rPr>
          <w:spacing w:val="-13"/>
        </w:rPr>
        <w:t> </w:t>
      </w:r>
      <w:r>
        <w:rPr/>
        <w:t>electrónica do 19 de outubro de</w:t>
      </w:r>
      <w:r>
        <w:rPr>
          <w:spacing w:val="-2"/>
        </w:rPr>
        <w:t> </w:t>
      </w:r>
      <w:r>
        <w:rPr/>
        <w:t>2017.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01" w:right="107"/>
        <w:jc w:val="both"/>
      </w:pPr>
      <w:r>
        <w:rPr/>
        <w:t>Iniciado o expediente o 13 de decembro de 2017 recíbese informe do Concello de Viveiro, no que consta que existe unha resolución de 30 de novembro de 2017 e que a petición tivo entrada o 25 de outubro de 2017 no Concello. (nº Rex. Entrada 2017-E-RC-6740)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</w:pPr>
      <w:r>
        <w:rPr>
          <w:b/>
        </w:rPr>
        <w:t>Segundo </w:t>
      </w:r>
      <w:r>
        <w:rPr/>
        <w:t>O interesado achega unha petición extemporánea tendo en conta que:</w:t>
      </w:r>
    </w:p>
    <w:p>
      <w:pPr>
        <w:pStyle w:val="BodyText"/>
        <w:rPr>
          <w:sz w:val="23"/>
        </w:rPr>
      </w:pPr>
    </w:p>
    <w:p>
      <w:pPr>
        <w:pStyle w:val="BodyText"/>
        <w:spacing w:line="242" w:lineRule="auto"/>
        <w:ind w:left="101" w:right="109"/>
        <w:jc w:val="both"/>
      </w:pPr>
      <w:r>
        <w:rPr/>
        <w:t>O</w:t>
      </w:r>
      <w:r>
        <w:rPr>
          <w:spacing w:val="-7"/>
        </w:rPr>
        <w:t> </w:t>
      </w:r>
      <w:r>
        <w:rPr/>
        <w:t>prazo</w:t>
      </w:r>
      <w:r>
        <w:rPr>
          <w:spacing w:val="-6"/>
        </w:rPr>
        <w:t> </w:t>
      </w:r>
      <w:r>
        <w:rPr/>
        <w:t>máximo</w:t>
      </w:r>
      <w:r>
        <w:rPr>
          <w:spacing w:val="40"/>
        </w:rPr>
        <w:t> </w:t>
      </w:r>
      <w:r>
        <w:rPr/>
        <w:t>para</w:t>
      </w:r>
      <w:r>
        <w:rPr>
          <w:spacing w:val="-9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notificar</w:t>
      </w:r>
      <w:r>
        <w:rPr>
          <w:spacing w:val="-9"/>
        </w:rPr>
        <w:t> </w:t>
      </w:r>
      <w:r>
        <w:rPr/>
        <w:t>ao</w:t>
      </w:r>
      <w:r>
        <w:rPr>
          <w:spacing w:val="-8"/>
        </w:rPr>
        <w:t> </w:t>
      </w:r>
      <w:r>
        <w:rPr/>
        <w:t>solicitante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resolución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concede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denegue o acceso é un mes dende a recepción da solicitude polo órgano competente para</w:t>
      </w:r>
      <w:r>
        <w:rPr>
          <w:spacing w:val="-18"/>
        </w:rPr>
        <w:t> </w:t>
      </w:r>
      <w:r>
        <w:rPr/>
        <w:t>resolver.</w:t>
      </w:r>
    </w:p>
    <w:p>
      <w:pPr>
        <w:spacing w:after="0" w:line="242" w:lineRule="auto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44"/>
      </w:pPr>
      <w:r>
        <w:rPr/>
        <w:t>FUNDAMENTOS XURÍDICOS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Heading2"/>
      </w:pPr>
      <w:r>
        <w:rPr/>
        <w:t>Primeiro. Competencia e normativa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01" w:right="107"/>
        <w:jc w:val="both"/>
      </w:pPr>
      <w:r>
        <w:rPr/>
        <w:t>O</w:t>
      </w:r>
      <w:r>
        <w:rPr>
          <w:spacing w:val="-9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1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2" w:lineRule="auto"/>
        <w:ind w:left="101" w:right="111"/>
        <w:jc w:val="both"/>
      </w:pPr>
      <w:r>
        <w:rPr/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</w:t>
      </w:r>
      <w:r>
        <w:rPr>
          <w:spacing w:val="-9"/>
        </w:rPr>
        <w:t> </w:t>
      </w:r>
      <w:r>
        <w:rPr/>
        <w:t>competente.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/>
        <w:t>Segundo. Procedemento aplicable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01" w:right="108"/>
        <w:jc w:val="both"/>
      </w:pPr>
      <w:r>
        <w:rPr/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 administrativa e que se axustará na súa tramitación ao disposto na lexislación de procedemento administrativo común en materia de 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Terceiro. Prazos de interposición do recurso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9"/>
        <w:jc w:val="both"/>
      </w:pPr>
      <w:r>
        <w:rPr/>
        <w:t>O</w:t>
      </w:r>
      <w:r>
        <w:rPr>
          <w:spacing w:val="-4"/>
        </w:rPr>
        <w:t> </w:t>
      </w:r>
      <w:r>
        <w:rPr/>
        <w:t>artigo</w:t>
      </w:r>
      <w:r>
        <w:rPr>
          <w:spacing w:val="-3"/>
        </w:rPr>
        <w:t> </w:t>
      </w:r>
      <w:r>
        <w:rPr/>
        <w:t>24.2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19/2013,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decembro,</w:t>
      </w:r>
      <w:r>
        <w:rPr>
          <w:spacing w:val="-6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reclamación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interporá</w:t>
      </w:r>
      <w:r>
        <w:rPr>
          <w:spacing w:val="-4"/>
        </w:rPr>
        <w:t> </w:t>
      </w:r>
      <w:r>
        <w:rPr/>
        <w:t>no prazo</w:t>
      </w:r>
      <w:r>
        <w:rPr>
          <w:spacing w:val="-5"/>
        </w:rPr>
        <w:t> </w:t>
      </w:r>
      <w:r>
        <w:rPr/>
        <w:t>dun</w:t>
      </w:r>
      <w:r>
        <w:rPr>
          <w:spacing w:val="-2"/>
        </w:rPr>
        <w:t> </w:t>
      </w:r>
      <w:r>
        <w:rPr/>
        <w:t>mes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contar</w:t>
      </w:r>
      <w:r>
        <w:rPr>
          <w:spacing w:val="-5"/>
        </w:rPr>
        <w:t> </w:t>
      </w:r>
      <w:r>
        <w:rPr/>
        <w:t>desde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día</w:t>
      </w:r>
      <w:r>
        <w:rPr>
          <w:spacing w:val="-3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notificación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acto</w:t>
      </w:r>
      <w:r>
        <w:rPr>
          <w:spacing w:val="-2"/>
        </w:rPr>
        <w:t> </w:t>
      </w:r>
      <w:r>
        <w:rPr/>
        <w:t>impugnado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desde</w:t>
      </w:r>
      <w:r>
        <w:rPr>
          <w:spacing w:val="-2"/>
        </w:rPr>
        <w:t> </w:t>
      </w:r>
      <w:r>
        <w:rPr/>
        <w:t>o día seguinte a aquel no que se produzan os efectos do silencio</w:t>
      </w:r>
      <w:r>
        <w:rPr>
          <w:spacing w:val="-12"/>
        </w:rPr>
        <w:t> </w:t>
      </w:r>
      <w:r>
        <w:rPr/>
        <w:t>administrativo.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7"/>
        <w:jc w:val="both"/>
      </w:pPr>
      <w:r>
        <w:rPr/>
        <w:t>O artigo 116 d) da Lei de procedemento administrativo común das Administracións Públicas, de 1 de outubro, establece que será causa de inadmisión ter trascorrido o prazo para a interposición do recurso.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8"/>
        <w:jc w:val="both"/>
      </w:pPr>
      <w:r>
        <w:rPr/>
        <w:t>O 30 de maio de 2017, a Comisión da Transparencia acordou en sesión ordinaria, por unanimidade, a aprobación do seguinte acordo:</w:t>
      </w:r>
    </w:p>
    <w:p>
      <w:pPr>
        <w:pStyle w:val="BodyText"/>
        <w:spacing w:before="9"/>
        <w:rPr>
          <w:sz w:val="22"/>
        </w:rPr>
      </w:pPr>
    </w:p>
    <w:p>
      <w:pPr>
        <w:spacing w:line="240" w:lineRule="auto" w:before="0"/>
        <w:ind w:left="101" w:right="111" w:firstLine="0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Delegar na Presidencia as resolucións de inadmisión das reclamacións presentadas no </w:t>
      </w:r>
      <w:r>
        <w:rPr>
          <w:i/>
          <w:sz w:val="24"/>
        </w:rPr>
        <w:t>exercicio do dereito de acceso á información pública que sexan extemporáneas, tanto porque son presentadas antes de que transcorra o prazo para resolver polo suxeito ao que se lle solicita, como por tratarse dunha reclamación na que ten transcorrido o prazo para dirixir o recurso ante a comisión.”</w:t>
      </w:r>
    </w:p>
    <w:p>
      <w:pPr>
        <w:pStyle w:val="BodyText"/>
        <w:spacing w:before="12"/>
        <w:rPr>
          <w:i/>
          <w:sz w:val="22"/>
        </w:rPr>
      </w:pPr>
    </w:p>
    <w:p>
      <w:pPr>
        <w:pStyle w:val="Heading2"/>
      </w:pPr>
      <w:r>
        <w:rPr/>
        <w:t>Cuarto. Análise do expediente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01" w:right="109"/>
        <w:jc w:val="both"/>
      </w:pPr>
      <w:r>
        <w:rPr/>
        <w:t>O reclamante apurou os prazos ata o límite, pois sendo a sinatura dixital do seu escrito de 19 de outubro de 2017 presentou a reclamación o 20 de novembro de 2017, sen ter en conta o procedemento administrativo común, que establece (artigo 30 da Lei 39/2015, do 1 de outubro) que os prazos computan dende o día seguinte ao da notificación e que por tanto o día 20 aínda era hábil para notificar a resolución.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Igualmente, non se tivo en conta a data de entrada no Rexistro do Concello de Viveiro, que non é a da sinatura dixital (19 de outubro de 2017), se non o 25 de outubro de 2017, sendo esta</w:t>
      </w:r>
      <w:r>
        <w:rPr>
          <w:spacing w:val="-16"/>
        </w:rPr>
        <w:t> </w:t>
      </w:r>
      <w:r>
        <w:rPr/>
        <w:t>data</w:t>
      </w:r>
      <w:r>
        <w:rPr>
          <w:spacing w:val="-13"/>
        </w:rPr>
        <w:t> </w:t>
      </w:r>
      <w:r>
        <w:rPr/>
        <w:t>aquela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serve</w:t>
      </w:r>
      <w:r>
        <w:rPr>
          <w:spacing w:val="-13"/>
        </w:rPr>
        <w:t> </w:t>
      </w:r>
      <w:r>
        <w:rPr/>
        <w:t>para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cómputo</w:t>
      </w:r>
      <w:r>
        <w:rPr>
          <w:spacing w:val="-15"/>
        </w:rPr>
        <w:t> </w:t>
      </w:r>
      <w:r>
        <w:rPr/>
        <w:t>do</w:t>
      </w:r>
      <w:r>
        <w:rPr>
          <w:spacing w:val="-18"/>
        </w:rPr>
        <w:t> </w:t>
      </w:r>
      <w:r>
        <w:rPr/>
        <w:t>prazo,</w:t>
      </w:r>
      <w:r>
        <w:rPr>
          <w:spacing w:val="-13"/>
        </w:rPr>
        <w:t> </w:t>
      </w:r>
      <w:r>
        <w:rPr/>
        <w:t>tan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di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artigo</w:t>
      </w:r>
      <w:r>
        <w:rPr>
          <w:spacing w:val="-15"/>
        </w:rPr>
        <w:t> </w:t>
      </w:r>
      <w:r>
        <w:rPr/>
        <w:t>20.</w:t>
      </w:r>
      <w:r>
        <w:rPr>
          <w:spacing w:val="-14"/>
        </w:rPr>
        <w:t> </w:t>
      </w:r>
      <w:r>
        <w:rPr/>
        <w:t>1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Lei</w:t>
      </w:r>
      <w:r>
        <w:rPr>
          <w:spacing w:val="-16"/>
        </w:rPr>
        <w:t> </w:t>
      </w:r>
      <w:r>
        <w:rPr/>
        <w:t>19/2013, do 9 de decembro, isto é, o prazo computa desde a recepción da solicitude polo órgano competente para</w:t>
      </w:r>
      <w:r>
        <w:rPr>
          <w:spacing w:val="-1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/>
        <w:jc w:val="both"/>
      </w:pPr>
      <w:r>
        <w:rPr/>
        <w:t>En conclusión, a Comisión da Transparencia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3864" w:val="left" w:leader="none"/>
          <w:tab w:pos="7870" w:val="left" w:leader="none"/>
        </w:tabs>
        <w:ind w:left="101" w:right="108"/>
        <w:jc w:val="both"/>
      </w:pPr>
      <w:r>
        <w:rPr/>
        <w:pict>
          <v:rect style="position:absolute;margin-left:329.000031pt;margin-top:.857773pt;width:143.458500pt;height:15.2518pt;mso-position-horizontal-relative:page;mso-position-vertical-relative:paragraph;z-index:-4504" filled="true" fillcolor="#000000" stroked="false">
            <v:fill type="solid"/>
            <w10:wrap type="none"/>
          </v:rect>
        </w:pict>
      </w:r>
      <w:r>
        <w:rPr/>
        <w:pict>
          <v:rect style="position:absolute;margin-left:183.918427pt;margin-top:15.497758pt;width:81.4669pt;height:15.2518pt;mso-position-horizontal-relative:page;mso-position-vertical-relative:paragraph;z-index:-4480" filled="true" fillcolor="#000000" stroked="false">
            <v:fill type="solid"/>
            <w10:wrap type="none"/>
          </v:rect>
        </w:pict>
      </w:r>
      <w:r>
        <w:rPr>
          <w:b/>
        </w:rPr>
        <w:t>Único</w:t>
      </w:r>
      <w:r>
        <w:rPr/>
        <w:t>:  Inadmitir  a  reclamación</w:t>
      </w:r>
      <w:r>
        <w:rPr>
          <w:spacing w:val="26"/>
        </w:rPr>
        <w:t> </w:t>
      </w:r>
      <w:r>
        <w:rPr/>
        <w:t>presentada</w:t>
      </w:r>
      <w:r>
        <w:rPr>
          <w:spacing w:val="43"/>
        </w:rPr>
        <w:t> </w:t>
      </w:r>
      <w:r>
        <w:rPr/>
        <w:t>por</w:t>
        <w:tab/>
        <w:t>, en nome e representación </w:t>
      </w:r>
      <w:r>
        <w:rPr>
          <w:spacing w:val="25"/>
        </w:rPr>
        <w:t> </w:t>
      </w:r>
      <w:r>
        <w:rPr/>
        <w:t>de</w:t>
        <w:tab/>
        <w:t>con data de 20 de novembro de 2017, contra a denegación por silencio do Concello de</w:t>
      </w:r>
      <w:r>
        <w:rPr>
          <w:spacing w:val="-8"/>
        </w:rPr>
        <w:t> </w:t>
      </w:r>
      <w:r>
        <w:rPr/>
        <w:t>Viveiro.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/>
      </w:pPr>
      <w:r>
        <w:rPr/>
        <w:t>no artigo 8.3 a Lei 29/1998, do 13 de xullo, reguladora da xurisdición contencioso- administrativa.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470" w:lineRule="auto"/>
        <w:ind w:left="101" w:right="4085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1213020</wp:posOffset>
            </wp:positionH>
            <wp:positionV relativeFrom="paragraph">
              <wp:posOffset>783873</wp:posOffset>
            </wp:positionV>
            <wp:extent cx="1554603" cy="771144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03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Santiago de Compostela, a 27 de decembro de 2017 A presidenta da Comisión da Transparencia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1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462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80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l" w:eastAsia="gl" w:bidi="gl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8"/>
      <w:szCs w:val="28"/>
      <w:lang w:val="gl" w:eastAsia="gl" w:bidi="gl"/>
    </w:rPr>
  </w:style>
  <w:style w:styleId="Heading2" w:type="paragraph">
    <w:name w:val="Heading 2"/>
    <w:basedOn w:val="Normal"/>
    <w:uiPriority w:val="1"/>
    <w:qFormat/>
    <w:pPr>
      <w:ind w:left="101"/>
      <w:jc w:val="both"/>
      <w:outlineLvl w:val="2"/>
    </w:pPr>
    <w:rPr>
      <w:rFonts w:ascii="Calibri" w:hAnsi="Calibri" w:eastAsia="Calibri" w:cs="Calibri"/>
      <w:b/>
      <w:bCs/>
      <w:sz w:val="24"/>
      <w:szCs w:val="24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/>
    <w:rPr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2018-01-10T14:14:56Z</dcterms:created>
  <dcterms:modified xsi:type="dcterms:W3CDTF">2018-01-10T14:14:56Z</dcterms:modified>
</cp:coreProperties>
</file>