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BodyText"/>
        <w:ind w:left="434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17.8pt;height:73.850pt;mso-position-horizontal-relative:char;mso-position-vertical-relative:line" coordorigin="0,0" coordsize="4356,1477">
            <v:rect style="position:absolute;left:0;top:0;width:2927;height:306" filled="true" fillcolor="#000000" stroked="false">
              <v:fill type="solid"/>
            </v:rect>
            <v:rect style="position:absolute;left:55;top:292;width:4301;height:306" filled="true" fillcolor="#000000" stroked="false">
              <v:fill type="solid"/>
            </v:rect>
            <v:rect style="position:absolute;left:0;top:585;width:4067;height:306" filled="true" fillcolor="#000000" stroked="false">
              <v:fill type="solid"/>
            </v:rect>
            <v:rect style="position:absolute;left:0;top:878;width:4018;height:306" filled="true" fillcolor="#000000" stroked="false">
              <v:fill type="solid"/>
            </v:rect>
            <v:rect style="position:absolute;left:0;top:1171;width:1776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Heading2"/>
        <w:spacing w:before="52"/>
        <w:ind w:right="6355"/>
        <w:jc w:val="left"/>
      </w:pPr>
      <w:r>
        <w:rPr/>
        <w:pict>
          <v:group style="position:absolute;margin-left:179.791794pt;margin-top:3.373804pt;width:152pt;height:15.35pt;mso-position-horizontal-relative:page;mso-position-vertical-relative:paragraph;z-index:-5056" coordorigin="3596,67" coordsize="3040,307">
            <v:line style="position:absolute" from="3623,67" to="3623,374" stroked="true" strokeweight="2.688pt" strokecolor="#000000">
              <v:stroke dashstyle="solid"/>
            </v:line>
            <v:rect style="position:absolute;left:3649;top:69;width:2986;height:306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49.119965pt;margin-top:32.737934pt;width:92.15pt;height:15.3pt;mso-position-horizontal-relative:page;mso-position-vertical-relative:paragraph;z-index:-5032" coordorigin="2982,655" coordsize="1843,306">
            <v:rect style="position:absolute;left:3107;top:654;width:1719;height:306" filled="true" fillcolor="#000000" stroked="false">
              <v:fill type="solid"/>
            </v:rect>
            <v:line style="position:absolute" from="3044,655" to="3044,960" stroked="true" strokeweight="6.2039pt" strokecolor="#000000">
              <v:stroke dashstyle="solid"/>
            </v:line>
            <w10:wrap type="none"/>
          </v:group>
        </w:pict>
      </w:r>
      <w:r>
        <w:rPr/>
        <w:t>Correo electrónico: </w:t>
      </w:r>
      <w:r>
        <w:rPr>
          <w:b w:val="0"/>
        </w:rPr>
        <w:t>Expediente </w:t>
      </w:r>
      <w:r>
        <w:rPr/>
        <w:t>RSCTG 087/2017 Reclamante:</w:t>
      </w:r>
    </w:p>
    <w:p>
      <w:pPr>
        <w:pStyle w:val="BodyText"/>
        <w:rPr>
          <w:b/>
          <w:sz w:val="23"/>
        </w:rPr>
      </w:pPr>
    </w:p>
    <w:p>
      <w:pPr>
        <w:spacing w:before="0"/>
        <w:ind w:left="121" w:right="107" w:hanging="1"/>
        <w:jc w:val="both"/>
        <w:rPr>
          <w:b/>
          <w:sz w:val="28"/>
        </w:rPr>
      </w:pPr>
      <w:r>
        <w:rPr>
          <w:b/>
          <w:sz w:val="28"/>
        </w:rPr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7136" w:val="left" w:leader="none"/>
        </w:tabs>
        <w:spacing w:before="1"/>
        <w:ind w:left="121" w:right="109"/>
        <w:jc w:val="both"/>
      </w:pPr>
      <w:r>
        <w:rPr/>
        <w:pict>
          <v:rect style="position:absolute;margin-left:289.997223pt;margin-top:.907779pt;width:144.8972pt;height:15.2518pt;mso-position-horizontal-relative:page;mso-position-vertical-relative:paragraph;z-index:-5008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32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por</w:t>
        <w:tab/>
        <w:t>, mediante escrito</w:t>
      </w:r>
      <w:r>
        <w:rPr>
          <w:spacing w:val="-27"/>
        </w:rPr>
        <w:t> </w:t>
      </w:r>
      <w:r>
        <w:rPr/>
        <w:t>do 15 de setembro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4083" w:val="left" w:leader="none"/>
        </w:tabs>
        <w:ind w:left="121" w:right="109"/>
        <w:jc w:val="both"/>
      </w:pPr>
      <w:r>
        <w:rPr/>
        <w:pict>
          <v:rect style="position:absolute;margin-left:133.040009pt;margin-top:.85777pt;width:146.3385pt;height:15.2518pt;mso-position-horizontal-relative:page;mso-position-vertical-relative:paragraph;z-index:-4984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15 de setembro de 2017, unha reclamación ao amparo do disposto no artigo 28 da Lei 1/2016, do 18 de xaneiro, de transparencia e bo goberno, por entender desatendida unha solicitude de acceso á información por parte da Consellería de</w:t>
      </w:r>
      <w:r>
        <w:rPr>
          <w:spacing w:val="-15"/>
        </w:rPr>
        <w:t> </w:t>
      </w:r>
      <w:r>
        <w:rPr/>
        <w:t>Pesca.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9"/>
        <w:jc w:val="both"/>
      </w:pPr>
      <w:r>
        <w:rPr/>
        <w:t>O escrito viña acompañado da reclamación que en data de 16 de xullo de 2017 dirixira o reclamante á Consellería do Mar en relación á petición dun convenio de colaboración entre esta e o Colexio de Enxeñeiros Navais e Oceánicos de España.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>
          <w:b/>
        </w:rPr>
        <w:t>Segundo </w:t>
      </w:r>
      <w:r>
        <w:rPr/>
        <w:t>Tras a primeira valoración xurde a dubida durante a instrución de se a petición realizada á consellería é ou non a mesma petición do expediente RSCTG 38/2017, ao poder tratarse do mesmo convenio reclamado naquel expediente. Expediente que xa dispón de resolución. Por isto, no momento do inicio do expediente se lle pide que aclare se a</w:t>
      </w:r>
    </w:p>
    <w:p>
      <w:pPr>
        <w:spacing w:after="0"/>
        <w:jc w:val="both"/>
        <w:sectPr>
          <w:type w:val="continuous"/>
          <w:pgSz w:w="11900" w:h="16850"/>
          <w:pgMar w:top="1600" w:bottom="28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10"/>
        <w:jc w:val="both"/>
      </w:pPr>
      <w:r>
        <w:rPr/>
        <w:t>información que solicita se refire ou non a dito convenio, para o que disporá un prazo de dez días, transcorridos os que teráselle por desistido da petición.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/>
      </w:pPr>
      <w:r>
        <w:rPr/>
        <w:t>O reclamante recibe o escrito o 27 de setembro de 2017.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8"/>
        <w:jc w:val="both"/>
      </w:pPr>
      <w:r>
        <w:rPr>
          <w:b/>
        </w:rPr>
        <w:t>Terceiro </w:t>
      </w:r>
      <w:r>
        <w:rPr/>
        <w:t>. Con data 26 de setembro de 2017 déuselle traslado da documentación achegada polo interesado á Consellería do Mar para que, en cumprimento da normativa de transparencia, achegaran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121" w:right="108"/>
        <w:jc w:val="both"/>
      </w:pPr>
      <w:r>
        <w:rPr/>
        <w:t>O requirimento de expediente foi recibido con data do 28 de setembro de 2017 pola administración.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>
          <w:b/>
        </w:rPr>
        <w:t>Cuarto</w:t>
      </w:r>
      <w:r>
        <w:rPr/>
        <w:t>. Con data 6 de outubro de 2017 se recibiu o informe da administración. O informe indica expresamente que se trata do mesmo convenio que se solicitou no expediente RSCTG 38/2017, pero que o asunto deste escrito podería derivar do feito de que non se lle poido proporcionar o informe de resultados pois non existe como tal.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  <w:jc w:val="left"/>
      </w:pPr>
      <w:r>
        <w:rPr/>
        <w:t>FUNDAMENTOS XURÍDICOS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Heading2"/>
        <w:jc w:val="left"/>
      </w:pPr>
      <w:r>
        <w:rPr/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07"/>
        <w:jc w:val="both"/>
      </w:pPr>
      <w:r>
        <w:rPr/>
        <w:t>O</w:t>
      </w:r>
      <w:r>
        <w:rPr>
          <w:spacing w:val="-9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1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121" w:right="111"/>
        <w:jc w:val="both"/>
      </w:pPr>
      <w:r>
        <w:rPr/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Transparencia, órgano colexiado,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1900" w:h="16850"/>
          <w:pgMar w:header="794" w:footer="951" w:top="1820" w:bottom="1140" w:left="158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9"/>
        <w:jc w:val="both"/>
      </w:pPr>
      <w:r>
        <w:rPr/>
        <w:t>A disposición adicional quinta da lei 1/2016, do 18 de xaneiro establece que resolver esas reclamacións corresponderá, no suposto de resolucións ditadas polas entidades locais de Galicia, ao Valedor do Pobo, ao que adscríbese a Comisión da Transparencia, que por tanto é a competente.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Segundo. Procedemento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 w:right="108"/>
        <w:jc w:val="both"/>
      </w:pPr>
      <w:r>
        <w:rPr/>
        <w:t>O artigo 28.3 da Lei 1/2016, do 18 de xaneiro preceptúa que o procedemento se axustará ao previsto</w:t>
      </w:r>
      <w:r>
        <w:rPr>
          <w:spacing w:val="-15"/>
        </w:rPr>
        <w:t> </w:t>
      </w:r>
      <w:r>
        <w:rPr/>
        <w:t>nos</w:t>
      </w:r>
      <w:r>
        <w:rPr>
          <w:spacing w:val="-16"/>
        </w:rPr>
        <w:t> </w:t>
      </w:r>
      <w:r>
        <w:rPr/>
        <w:t>números</w:t>
      </w:r>
      <w:r>
        <w:rPr>
          <w:spacing w:val="-16"/>
        </w:rPr>
        <w:t> </w:t>
      </w:r>
      <w:r>
        <w:rPr/>
        <w:t>2,</w:t>
      </w:r>
      <w:r>
        <w:rPr>
          <w:spacing w:val="-16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4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8"/>
        </w:rPr>
        <w:t> </w:t>
      </w:r>
      <w:r>
        <w:rPr/>
        <w:t>19/2013,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6"/>
        </w:rPr>
        <w:t> </w:t>
      </w:r>
      <w:r>
        <w:rPr/>
        <w:t>lei</w:t>
      </w:r>
      <w:r>
        <w:rPr>
          <w:spacing w:val="-16"/>
        </w:rPr>
        <w:t> </w:t>
      </w:r>
      <w:r>
        <w:rPr/>
        <w:t>19/2013, 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decembro</w:t>
      </w:r>
      <w:r>
        <w:rPr>
          <w:spacing w:val="-13"/>
        </w:rPr>
        <w:t> </w:t>
      </w:r>
      <w:r>
        <w:rPr/>
        <w:t>sinala</w:t>
      </w:r>
      <w:r>
        <w:rPr>
          <w:spacing w:val="-18"/>
        </w:rPr>
        <w:t> </w:t>
      </w:r>
      <w:r>
        <w:rPr/>
        <w:t>que</w:t>
      </w:r>
      <w:r>
        <w:rPr>
          <w:spacing w:val="-15"/>
        </w:rPr>
        <w:t> </w:t>
      </w:r>
      <w:r>
        <w:rPr/>
        <w:t>estamos</w:t>
      </w:r>
      <w:r>
        <w:rPr>
          <w:spacing w:val="-16"/>
        </w:rPr>
        <w:t> </w:t>
      </w:r>
      <w:r>
        <w:rPr/>
        <w:t>ante</w:t>
      </w:r>
      <w:r>
        <w:rPr>
          <w:spacing w:val="-15"/>
        </w:rPr>
        <w:t> </w:t>
      </w:r>
      <w:r>
        <w:rPr/>
        <w:t>unha</w:t>
      </w:r>
      <w:r>
        <w:rPr>
          <w:spacing w:val="-16"/>
        </w:rPr>
        <w:t> </w:t>
      </w:r>
      <w:r>
        <w:rPr/>
        <w:t>reclamación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carácter</w:t>
      </w:r>
      <w:r>
        <w:rPr>
          <w:spacing w:val="-18"/>
        </w:rPr>
        <w:t> </w:t>
      </w:r>
      <w:r>
        <w:rPr/>
        <w:t>potestativo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previa á impugnación en vía contencioso-administrativa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</w:pPr>
      <w:r>
        <w:rPr/>
        <w:t>Terceiro. Dereito de acceso á información pública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40" w:lineRule="auto"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8"/>
        <w:jc w:val="both"/>
      </w:pPr>
      <w:r>
        <w:rPr/>
        <w:t>O artigo 12 da Lei 19/2013, do 9 de decembro configura o dereito de acceso á información pública de forma ampla, sendo titulares do mesmo todas as persoas. A Lei 1/2016, do 18 de xaneiro sinala que o solicitante non está obrigada a motivar a súa solicitude de acceso á información (artigo 26.4).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Cuarto. Prazos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 w:right="107"/>
        <w:jc w:val="both"/>
      </w:pPr>
      <w:r>
        <w:rPr/>
        <w:t>De acordo co disposto no artigo 19.2 da Lei 19/2013 do 9 de decembro, e artigos 66 a 68 da Lei 39/2015, do 1 de outubro, do procedemento administrativo común das administracións públicas déuselle ao reclamante un prazo de dez días para que aclarase se a información que solicita se refería ou non ao convenio solicitado no RSCTG 38/2017. A recepción do oficio foi o 27 de setembro de 2017.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10"/>
        <w:jc w:val="both"/>
      </w:pPr>
      <w:r>
        <w:rPr/>
        <w:t>O</w:t>
      </w:r>
      <w:r>
        <w:rPr>
          <w:spacing w:val="-3"/>
        </w:rPr>
        <w:t> </w:t>
      </w:r>
      <w:r>
        <w:rPr/>
        <w:t>prazo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achegar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aclaracións</w:t>
      </w:r>
      <w:r>
        <w:rPr>
          <w:spacing w:val="-2"/>
        </w:rPr>
        <w:t> </w:t>
      </w:r>
      <w:r>
        <w:rPr/>
        <w:t>remataba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11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2017.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reclamante</w:t>
      </w:r>
      <w:r>
        <w:rPr>
          <w:spacing w:val="-5"/>
        </w:rPr>
        <w:t> </w:t>
      </w:r>
      <w:r>
        <w:rPr/>
        <w:t>deixou transcorrer o prazo sen dar</w:t>
      </w:r>
      <w:r>
        <w:rPr>
          <w:spacing w:val="-2"/>
        </w:rPr>
        <w:t> </w:t>
      </w:r>
      <w:r>
        <w:rPr/>
        <w:t>resposta.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Quinto. Análise do expediente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21" w:right="0" w:firstLine="0"/>
        <w:jc w:val="both"/>
        <w:rPr>
          <w:i/>
          <w:sz w:val="24"/>
        </w:rPr>
      </w:pPr>
      <w:r>
        <w:rPr/>
        <w:pict>
          <v:rect style="position:absolute;margin-left:474.080109pt;margin-top:.30794pt;width:63.2763pt;height:15.4798pt;mso-position-horizontal-relative:page;mso-position-vertical-relative:paragraph;z-index:1144" filled="true" fillcolor="#000000" stroked="false">
            <v:fill type="solid"/>
            <w10:wrap type="none"/>
          </v:rect>
        </w:pict>
      </w:r>
      <w:r>
        <w:rPr>
          <w:sz w:val="24"/>
        </w:rPr>
        <w:t>O informe da consellería indica que “ </w:t>
      </w:r>
      <w:r>
        <w:rPr>
          <w:i/>
          <w:sz w:val="24"/>
        </w:rPr>
        <w:t>estimamos podería entenderse coincidente:</w:t>
      </w:r>
    </w:p>
    <w:p>
      <w:pPr>
        <w:spacing w:before="2"/>
        <w:ind w:left="121" w:right="106" w:firstLine="924"/>
        <w:jc w:val="both"/>
        <w:rPr>
          <w:i/>
          <w:sz w:val="24"/>
        </w:rPr>
      </w:pPr>
      <w:r>
        <w:rPr/>
        <w:pict>
          <v:rect style="position:absolute;margin-left:84.080109pt;margin-top:.357946pt;width:43.9803pt;height:15.4798pt;mso-position-horizontal-relative:page;mso-position-vertical-relative:paragraph;z-index:-4936" filled="true" fillcolor="#000000" stroked="false">
            <v:fill type="solid"/>
            <w10:wrap type="none"/>
          </v:rect>
        </w:pict>
      </w:r>
      <w:r>
        <w:rPr>
          <w:i/>
          <w:sz w:val="24"/>
        </w:rPr>
        <w:t>recorre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notificarse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(o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día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25.04.2017)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resolución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12.04.2017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resposta </w:t>
      </w:r>
      <w:r>
        <w:rPr>
          <w:i/>
          <w:sz w:val="24"/>
        </w:rPr>
        <w:t>á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solicitude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presentada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07.02.2017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resolve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remitirlle: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copia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contrato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consultoría 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asistencia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subscrito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pola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Mar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(entón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Pesca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Asuntos</w:t>
      </w:r>
    </w:p>
    <w:p>
      <w:pPr>
        <w:spacing w:after="0"/>
        <w:jc w:val="both"/>
        <w:rPr>
          <w:sz w:val="24"/>
        </w:rPr>
        <w:sectPr>
          <w:pgSz w:w="11900" w:h="16850"/>
          <w:pgMar w:header="794" w:footer="951" w:top="1820" w:bottom="1220" w:left="158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21" w:right="111" w:firstLine="0"/>
        <w:jc w:val="both"/>
        <w:rPr>
          <w:sz w:val="24"/>
        </w:rPr>
      </w:pPr>
      <w:r>
        <w:rPr>
          <w:i/>
          <w:sz w:val="24"/>
        </w:rPr>
        <w:t>Marítimos) co Colexio Oficial de Enxeñeiros Navais e Oceánicos con data 10.05.2007 e da súa </w:t>
      </w:r>
      <w:r>
        <w:rPr>
          <w:i/>
          <w:sz w:val="24"/>
        </w:rPr>
        <w:t>modificación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23.11.2007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informe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resultados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solicitado,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pois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existe (...)</w:t>
      </w:r>
      <w:r>
        <w:rPr>
          <w:sz w:val="24"/>
        </w:rPr>
        <w:t>.”</w:t>
      </w:r>
    </w:p>
    <w:p>
      <w:pPr>
        <w:pStyle w:val="BodyText"/>
        <w:rPr>
          <w:sz w:val="23"/>
        </w:rPr>
      </w:pPr>
    </w:p>
    <w:p>
      <w:pPr>
        <w:spacing w:before="0"/>
        <w:ind w:left="121" w:right="108" w:firstLine="0"/>
        <w:jc w:val="both"/>
        <w:rPr>
          <w:sz w:val="24"/>
        </w:rPr>
      </w:pPr>
      <w:r>
        <w:rPr>
          <w:sz w:val="24"/>
        </w:rPr>
        <w:t>Os fundamentos xurídicos en base aos que se resolve o expediente RSCTG 38/2017 din : “(...)</w:t>
      </w:r>
      <w:r>
        <w:rPr>
          <w:i/>
          <w:sz w:val="24"/>
        </w:rPr>
        <w:t>pero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foi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achegado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informe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resultado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contrato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indica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que </w:t>
      </w:r>
      <w:r>
        <w:rPr>
          <w:i/>
          <w:sz w:val="24"/>
        </w:rPr>
        <w:t>non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existe”.</w:t>
      </w:r>
      <w:r>
        <w:rPr>
          <w:i/>
          <w:spacing w:val="36"/>
          <w:sz w:val="24"/>
        </w:rPr>
        <w:t> </w:t>
      </w:r>
      <w:r>
        <w:rPr>
          <w:sz w:val="24"/>
        </w:rPr>
        <w:t>Isto</w:t>
      </w:r>
      <w:r>
        <w:rPr>
          <w:spacing w:val="-10"/>
          <w:sz w:val="24"/>
        </w:rPr>
        <w:t> </w:t>
      </w:r>
      <w:r>
        <w:rPr>
          <w:sz w:val="24"/>
        </w:rPr>
        <w:t>foi</w:t>
      </w:r>
      <w:r>
        <w:rPr>
          <w:spacing w:val="-9"/>
          <w:sz w:val="24"/>
        </w:rPr>
        <w:t> </w:t>
      </w:r>
      <w:r>
        <w:rPr>
          <w:sz w:val="24"/>
        </w:rPr>
        <w:t>admitido</w:t>
      </w:r>
      <w:r>
        <w:rPr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11"/>
          <w:sz w:val="24"/>
        </w:rPr>
        <w:t> </w:t>
      </w:r>
      <w:r>
        <w:rPr>
          <w:sz w:val="24"/>
        </w:rPr>
        <w:t>certo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consta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esta</w:t>
      </w:r>
      <w:r>
        <w:rPr>
          <w:spacing w:val="-9"/>
          <w:sz w:val="24"/>
        </w:rPr>
        <w:t> </w:t>
      </w:r>
      <w:r>
        <w:rPr>
          <w:sz w:val="24"/>
        </w:rPr>
        <w:t>resolución</w:t>
      </w:r>
      <w:r>
        <w:rPr>
          <w:spacing w:val="-10"/>
          <w:sz w:val="24"/>
        </w:rPr>
        <w:t> </w:t>
      </w:r>
      <w:r>
        <w:rPr>
          <w:sz w:val="24"/>
        </w:rPr>
        <w:t>teña</w:t>
      </w:r>
      <w:r>
        <w:rPr>
          <w:spacing w:val="-11"/>
          <w:sz w:val="24"/>
        </w:rPr>
        <w:t> </w:t>
      </w:r>
      <w:r>
        <w:rPr>
          <w:sz w:val="24"/>
        </w:rPr>
        <w:t>sido</w:t>
      </w:r>
      <w:r>
        <w:rPr>
          <w:spacing w:val="-11"/>
          <w:sz w:val="24"/>
        </w:rPr>
        <w:t> </w:t>
      </w:r>
      <w:r>
        <w:rPr>
          <w:sz w:val="24"/>
        </w:rPr>
        <w:t>recorrida polo agora reclamante en vía contencioso administrativo.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Para remarcar este punto compre indicar que a achega de información que ampara a lexislación da transparencia so inclúe os contidos ou documentos que obren en poder dos suxeitos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fosen</w:t>
      </w:r>
      <w:r>
        <w:rPr>
          <w:spacing w:val="-10"/>
        </w:rPr>
        <w:t> </w:t>
      </w:r>
      <w:r>
        <w:rPr/>
        <w:t>elaborados</w:t>
      </w:r>
      <w:r>
        <w:rPr>
          <w:spacing w:val="-11"/>
        </w:rPr>
        <w:t> </w:t>
      </w:r>
      <w:r>
        <w:rPr/>
        <w:t>ou</w:t>
      </w:r>
      <w:r>
        <w:rPr>
          <w:spacing w:val="-8"/>
        </w:rPr>
        <w:t> </w:t>
      </w:r>
      <w:r>
        <w:rPr/>
        <w:t>adquiridos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exercicio</w:t>
      </w:r>
      <w:r>
        <w:rPr>
          <w:spacing w:val="-8"/>
        </w:rPr>
        <w:t> </w:t>
      </w:r>
      <w:r>
        <w:rPr/>
        <w:t>das</w:t>
      </w:r>
      <w:r>
        <w:rPr>
          <w:spacing w:val="-11"/>
        </w:rPr>
        <w:t> </w:t>
      </w:r>
      <w:r>
        <w:rPr/>
        <w:t>súas</w:t>
      </w:r>
      <w:r>
        <w:rPr>
          <w:spacing w:val="-13"/>
        </w:rPr>
        <w:t> </w:t>
      </w:r>
      <w:r>
        <w:rPr/>
        <w:t>funcións,</w:t>
      </w:r>
      <w:r>
        <w:rPr>
          <w:spacing w:val="-11"/>
        </w:rPr>
        <w:t> </w:t>
      </w:r>
      <w:r>
        <w:rPr/>
        <w:t>polo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non existe o informe de resultados non pode ser</w:t>
      </w:r>
      <w:r>
        <w:rPr>
          <w:spacing w:val="-8"/>
        </w:rPr>
        <w:t> </w:t>
      </w:r>
      <w:r>
        <w:rPr/>
        <w:t>achegado.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caso,</w:t>
      </w:r>
      <w:r>
        <w:rPr>
          <w:spacing w:val="-9"/>
        </w:rPr>
        <w:t> </w:t>
      </w:r>
      <w:r>
        <w:rPr/>
        <w:t>queda</w:t>
      </w:r>
      <w:r>
        <w:rPr>
          <w:spacing w:val="-6"/>
        </w:rPr>
        <w:t> </w:t>
      </w:r>
      <w:r>
        <w:rPr/>
        <w:t>constancia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reclamante</w:t>
      </w:r>
      <w:r>
        <w:rPr>
          <w:spacing w:val="-8"/>
        </w:rPr>
        <w:t> </w:t>
      </w:r>
      <w:r>
        <w:rPr/>
        <w:t>non</w:t>
      </w:r>
      <w:r>
        <w:rPr>
          <w:spacing w:val="-7"/>
        </w:rPr>
        <w:t> </w:t>
      </w:r>
      <w:r>
        <w:rPr/>
        <w:t>aclarou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consistía a súa petición e se estaba relacionada co expediente en cuestión (RSCTG 38/2017), polo que existe un</w:t>
      </w:r>
      <w:r>
        <w:rPr>
          <w:spacing w:val="-1"/>
        </w:rPr>
        <w:t> </w:t>
      </w:r>
      <w:r>
        <w:rPr/>
        <w:t>desistimento.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/>
        <w:jc w:val="both"/>
      </w:pPr>
      <w:r>
        <w:rPr/>
        <w:t>En conclusión, a Comisión da Transparencia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>
          <w:b/>
        </w:rPr>
        <w:t>Único: </w:t>
      </w:r>
      <w:r>
        <w:rPr/>
        <w:t>Declarar o desestimento e declarar concluso o procedemento.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68" w:lineRule="auto"/>
        <w:ind w:left="121" w:right="4925"/>
      </w:pPr>
      <w:r>
        <w:rPr/>
        <w:t>Santiago de Compostela, a 13 de decembro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p>
      <w:pPr>
        <w:spacing w:after="0"/>
        <w:jc w:val="both"/>
        <w:sectPr>
          <w:pgSz w:w="11900" w:h="16850"/>
          <w:pgMar w:header="794" w:footer="951" w:top="1820" w:bottom="1220" w:left="1580" w:right="10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00" w:h="16850"/>
      <w:pgMar w:header="794" w:footer="951" w:top="1820" w:bottom="114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05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37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l" w:eastAsia="gl" w:bidi="gl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8"/>
      <w:szCs w:val="28"/>
      <w:lang w:val="gl" w:eastAsia="gl" w:bidi="gl"/>
    </w:rPr>
  </w:style>
  <w:style w:styleId="Heading2" w:type="paragraph">
    <w:name w:val="Heading 2"/>
    <w:basedOn w:val="Normal"/>
    <w:uiPriority w:val="1"/>
    <w:qFormat/>
    <w:pPr>
      <w:ind w:left="121"/>
      <w:jc w:val="both"/>
      <w:outlineLvl w:val="2"/>
    </w:pPr>
    <w:rPr>
      <w:rFonts w:ascii="Calibri" w:hAnsi="Calibri" w:eastAsia="Calibri" w:cs="Calibri"/>
      <w:b/>
      <w:bCs/>
      <w:sz w:val="24"/>
      <w:szCs w:val="24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/>
    <w:rPr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2018-01-10T13:50:06Z</dcterms:created>
  <dcterms:modified xsi:type="dcterms:W3CDTF">2018-01-10T13:50:06Z</dcterms:modified>
</cp:coreProperties>
</file>