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BodyText"/>
        <w:ind w:left="534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41.25pt;height:29.9pt;mso-position-horizontal-relative:char;mso-position-vertical-relative:line" coordorigin="0,0" coordsize="2825,598">
            <v:rect style="position:absolute;left:0;top:0;width:2350;height:293" filled="true" fillcolor="#000000" stroked="false">
              <v:fill type="solid"/>
            </v:rect>
            <v:rect style="position:absolute;left:0;top:292;width:2825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BodyText"/>
        <w:spacing w:before="51"/>
        <w:ind w:left="121"/>
      </w:pPr>
      <w:r>
        <w:rPr/>
        <w:pict>
          <v:rect style="position:absolute;margin-left:147.800018pt;margin-top:3.407752pt;width:117.4669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0113/2017</w:t>
      </w:r>
    </w:p>
    <w:p>
      <w:pPr>
        <w:pStyle w:val="BodyText"/>
        <w:rPr>
          <w:b/>
          <w:sz w:val="23"/>
        </w:rPr>
      </w:pPr>
    </w:p>
    <w:p>
      <w:pPr>
        <w:pStyle w:val="Heading1"/>
        <w:ind w:right="107" w:hanging="1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6841" w:val="left" w:leader="none"/>
        </w:tabs>
        <w:spacing w:before="1"/>
        <w:ind w:left="121" w:right="108"/>
        <w:jc w:val="both"/>
      </w:pPr>
      <w:r>
        <w:rPr/>
        <w:pict>
          <v:rect style="position:absolute;margin-left:290.358002pt;margin-top:.907776pt;width:129.709300pt;height:15.2518pt;mso-position-horizontal-relative:page;mso-position-vertical-relative:paragraph;z-index:-4360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-25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por</w:t>
        <w:tab/>
        <w:t>, mediante escrito do</w:t>
      </w:r>
      <w:r>
        <w:rPr>
          <w:spacing w:val="-27"/>
        </w:rPr>
        <w:t> </w:t>
      </w:r>
      <w:r>
        <w:rPr/>
        <w:t>21 de novembro de 2017, a Comisión da Transparencia, considerando os antecedentes e fundamentos xurídicos que se especifican a continuación, adopta o seguinte</w:t>
      </w:r>
      <w:r>
        <w:rPr>
          <w:spacing w:val="-10"/>
        </w:rPr>
        <w:t> </w:t>
      </w:r>
      <w:r>
        <w:rPr/>
        <w:t>acordo: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1"/>
        <w:ind w:left="121" w:right="0" w:firstLine="0"/>
        <w:jc w:val="left"/>
        <w:rPr>
          <w:sz w:val="24"/>
        </w:rPr>
      </w:pPr>
      <w:r>
        <w:rPr/>
        <w:pict>
          <v:rect style="position:absolute;margin-left:454.037384pt;margin-top:.907798pt;width:83.3399pt;height:15.2518pt;mso-position-horizontal-relative:page;mso-position-vertical-relative:paragraph;z-index:1096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Primeiro</w:t>
      </w:r>
      <w:r>
        <w:rPr>
          <w:sz w:val="24"/>
        </w:rPr>
        <w:t>. O </w:t>
      </w:r>
      <w:r>
        <w:rPr>
          <w:i/>
          <w:sz w:val="24"/>
        </w:rPr>
        <w:t>Consejo de Transparencia y Buen Gobierno </w:t>
      </w:r>
      <w:r>
        <w:rPr>
          <w:sz w:val="24"/>
        </w:rPr>
        <w:t>remitíu un escrito de</w:t>
      </w:r>
    </w:p>
    <w:p>
      <w:pPr>
        <w:pStyle w:val="BodyText"/>
        <w:ind w:left="121" w:right="106" w:firstLine="621"/>
        <w:jc w:val="both"/>
      </w:pPr>
      <w:r>
        <w:rPr/>
        <w:pict>
          <v:rect style="position:absolute;margin-left:84.079987pt;margin-top:.857784pt;width:31.0682pt;height:15.2518pt;mso-position-horizontal-relative:page;mso-position-vertical-relative:paragraph;z-index:-4312" filled="true" fillcolor="#000000" stroked="false">
            <v:fill type="solid"/>
            <w10:wrap type="none"/>
          </v:rect>
        </w:pict>
      </w:r>
      <w:r>
        <w:rPr/>
        <w:t>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entrada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rexistro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Valedor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Pobo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21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novembro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2017,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relación a unha reclamación ao amparo do disposto no artigo 28 da Lei 1/2016, do 18 de xaneiro, de transparencia e bo goberno, por entender desatendida unha solicitude de acceso á información por parte da Universidade de Santiago de Compostela en relación aos convenios asinados con entidades privadas e públicas, polas que os estudantes universitarios poden realizar prácticas curriculares e extracurriculares nestas Real Decreto 592/2014, de 11 de xullo. Sendo a información solicitada os convenios rexistrados desde 2014 ata a</w:t>
      </w:r>
      <w:r>
        <w:rPr>
          <w:spacing w:val="-22"/>
        </w:rPr>
        <w:t> </w:t>
      </w:r>
      <w:r>
        <w:rPr/>
        <w:t>actualidade.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1" w:right="107"/>
        <w:jc w:val="both"/>
      </w:pPr>
      <w:r>
        <w:rPr/>
        <w:t>O escrito viña acompañado da copia do escrito que o reclamante dirixira ao </w:t>
      </w:r>
      <w:r>
        <w:rPr>
          <w:i/>
        </w:rPr>
        <w:t>Consejo de </w:t>
      </w:r>
      <w:r>
        <w:rPr>
          <w:i/>
        </w:rPr>
        <w:t>Transparencia</w:t>
      </w:r>
      <w:r>
        <w:rPr>
          <w:i/>
          <w:spacing w:val="-10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</w:rPr>
        <w:t>Buen</w:t>
      </w:r>
      <w:r>
        <w:rPr>
          <w:i/>
          <w:spacing w:val="-10"/>
        </w:rPr>
        <w:t> </w:t>
      </w:r>
      <w:r>
        <w:rPr>
          <w:i/>
        </w:rPr>
        <w:t>Gobierno</w:t>
      </w:r>
      <w:r>
        <w:rPr/>
        <w:t>,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non</w:t>
      </w:r>
      <w:r>
        <w:rPr>
          <w:spacing w:val="-10"/>
        </w:rPr>
        <w:t> </w:t>
      </w:r>
      <w:r>
        <w:rPr/>
        <w:t>figuraba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solicitude</w:t>
      </w:r>
      <w:r>
        <w:rPr>
          <w:spacing w:val="-8"/>
        </w:rPr>
        <w:t> </w:t>
      </w:r>
      <w:r>
        <w:rPr/>
        <w:t>inicial.</w:t>
      </w:r>
      <w:r>
        <w:rPr>
          <w:spacing w:val="-12"/>
        </w:rPr>
        <w:t> </w:t>
      </w:r>
      <w:r>
        <w:rPr/>
        <w:t>Desta</w:t>
      </w:r>
      <w:r>
        <w:rPr>
          <w:spacing w:val="-9"/>
        </w:rPr>
        <w:t> </w:t>
      </w:r>
      <w:r>
        <w:rPr/>
        <w:t>documentación resulta que o único enderezo existente é o</w:t>
      </w:r>
      <w:r>
        <w:rPr>
          <w:spacing w:val="-9"/>
        </w:rPr>
        <w:t> </w:t>
      </w:r>
      <w:r>
        <w:rPr/>
        <w:t>electrónico.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/>
        <w:jc w:val="both"/>
      </w:pPr>
      <w:r>
        <w:rPr>
          <w:b/>
        </w:rPr>
        <w:t>Segundo</w:t>
      </w:r>
      <w:r>
        <w:rPr/>
        <w:t>. Con data 29 de novembro de 2017 déuselle traslado da documentación achegada polo interesado á USC para que, en cumprimento da normativa de transparencia, achegaran informe e copia completa e ordenada do expediente.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/>
        <w:jc w:val="both"/>
      </w:pPr>
      <w:r>
        <w:rPr/>
        <w:t>O requirimento de expediente foi recibido con data de 5 de decembro de 2017 pola administración.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>
          <w:b/>
        </w:rPr>
        <w:t>Terceiro</w:t>
      </w:r>
      <w:r>
        <w:rPr/>
        <w:t>. A resposta da USC do mesmo día 5 de decembro indica que comprobados os datos do</w:t>
      </w:r>
      <w:r>
        <w:rPr>
          <w:spacing w:val="-13"/>
        </w:rPr>
        <w:t> </w:t>
      </w:r>
      <w:r>
        <w:rPr/>
        <w:t>Rexistro</w:t>
      </w:r>
      <w:r>
        <w:rPr>
          <w:spacing w:val="-15"/>
        </w:rPr>
        <w:t> </w:t>
      </w:r>
      <w:r>
        <w:rPr/>
        <w:t>Xeral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telemático,</w:t>
      </w:r>
      <w:r>
        <w:rPr>
          <w:spacing w:val="-13"/>
        </w:rPr>
        <w:t> </w:t>
      </w:r>
      <w:r>
        <w:rPr/>
        <w:t>as</w:t>
      </w:r>
      <w:r>
        <w:rPr>
          <w:spacing w:val="-16"/>
        </w:rPr>
        <w:t> </w:t>
      </w:r>
      <w:r>
        <w:rPr/>
        <w:t>unidades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xestionan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tramitan</w:t>
      </w:r>
      <w:r>
        <w:rPr>
          <w:spacing w:val="-15"/>
        </w:rPr>
        <w:t> </w:t>
      </w:r>
      <w:r>
        <w:rPr/>
        <w:t>os</w:t>
      </w:r>
      <w:r>
        <w:rPr>
          <w:spacing w:val="-14"/>
        </w:rPr>
        <w:t> </w:t>
      </w:r>
      <w:r>
        <w:rPr/>
        <w:t>convenios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prácticas (Unidade de Convenios e Servizo de Xestión da Oferta e Planificación Académica) “en ningunha desas unidades figura a citada petición de datos sobre convenios de prácticas curriculares e</w:t>
      </w:r>
      <w:r>
        <w:rPr>
          <w:spacing w:val="-2"/>
        </w:rPr>
        <w:t> </w:t>
      </w:r>
      <w:r>
        <w:rPr/>
        <w:t>extracurriculares”.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8"/>
        <w:jc w:val="both"/>
      </w:pPr>
      <w:r>
        <w:rPr>
          <w:b/>
        </w:rPr>
        <w:t>Cuarto. </w:t>
      </w:r>
      <w:r>
        <w:rPr/>
        <w:t>O 30 de decembro de 2017 , o rexistro de saída do Valedor remite ao correo electrónico do reclamante escrito no que que se lle solicitaba que achegara acreditación da vontade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interesado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tramitación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expediente,</w:t>
      </w:r>
      <w:r>
        <w:rPr>
          <w:spacing w:val="-16"/>
        </w:rPr>
        <w:t> </w:t>
      </w:r>
      <w:r>
        <w:rPr/>
        <w:t>dándoselle</w:t>
      </w:r>
      <w:r>
        <w:rPr>
          <w:spacing w:val="-15"/>
        </w:rPr>
        <w:t> </w:t>
      </w:r>
      <w:r>
        <w:rPr/>
        <w:t>un</w:t>
      </w:r>
      <w:r>
        <w:rPr>
          <w:spacing w:val="-12"/>
        </w:rPr>
        <w:t> </w:t>
      </w:r>
      <w:r>
        <w:rPr/>
        <w:t>prazo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dez</w:t>
      </w:r>
      <w:r>
        <w:rPr>
          <w:spacing w:val="-15"/>
        </w:rPr>
        <w:t> </w:t>
      </w:r>
      <w:r>
        <w:rPr/>
        <w:t>días</w:t>
      </w:r>
      <w:r>
        <w:rPr>
          <w:spacing w:val="-16"/>
        </w:rPr>
        <w:t> </w:t>
      </w:r>
      <w:r>
        <w:rPr/>
        <w:t>para actuar</w:t>
      </w:r>
      <w:r>
        <w:rPr>
          <w:spacing w:val="0"/>
        </w:rPr>
        <w:t> </w:t>
      </w:r>
      <w:r>
        <w:rPr/>
        <w:t>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Heading2"/>
      </w:pPr>
      <w:r>
        <w:rPr/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21" w:right="105"/>
        <w:jc w:val="both"/>
      </w:pPr>
      <w:r>
        <w:rPr/>
        <w:t>O</w:t>
      </w:r>
      <w:r>
        <w:rPr>
          <w:spacing w:val="-9"/>
        </w:rPr>
        <w:t> </w:t>
      </w:r>
      <w:r>
        <w:rPr/>
        <w:t>artigo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11"/>
        </w:rPr>
        <w:t> </w:t>
      </w:r>
      <w:r>
        <w:rPr/>
        <w:t>19/2013,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8"/>
        </w:rPr>
        <w:t> </w:t>
      </w:r>
      <w:r>
        <w:rPr/>
        <w:t>á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11"/>
        <w:jc w:val="both"/>
      </w:pPr>
      <w:r>
        <w:rPr/>
        <w:t>A lexislación aplicable a este procedemento ven configurada pola citada Lei 19/2013 e pola Lei 1/2016, xunto coa lexislación básica en materia de procedemento administrativo.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Transparencia, órgano colexiado,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Segundo. Procedemento aplicable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21" w:right="106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decembro</w:t>
      </w:r>
      <w:r>
        <w:rPr>
          <w:spacing w:val="-13"/>
        </w:rPr>
        <w:t> </w:t>
      </w:r>
      <w:r>
        <w:rPr/>
        <w:t>sinala</w:t>
      </w:r>
      <w:r>
        <w:rPr>
          <w:spacing w:val="-18"/>
        </w:rPr>
        <w:t> </w:t>
      </w:r>
      <w:r>
        <w:rPr/>
        <w:t>que</w:t>
      </w:r>
      <w:r>
        <w:rPr>
          <w:spacing w:val="-15"/>
        </w:rPr>
        <w:t> </w:t>
      </w:r>
      <w:r>
        <w:rPr/>
        <w:t>estamos</w:t>
      </w:r>
      <w:r>
        <w:rPr>
          <w:spacing w:val="-16"/>
        </w:rPr>
        <w:t> </w:t>
      </w:r>
      <w:r>
        <w:rPr/>
        <w:t>ante</w:t>
      </w:r>
      <w:r>
        <w:rPr>
          <w:spacing w:val="-15"/>
        </w:rPr>
        <w:t> </w:t>
      </w:r>
      <w:r>
        <w:rPr/>
        <w:t>unha</w:t>
      </w:r>
      <w:r>
        <w:rPr>
          <w:spacing w:val="-16"/>
        </w:rPr>
        <w:t> </w:t>
      </w:r>
      <w:r>
        <w:rPr/>
        <w:t>reclamación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carácter</w:t>
      </w:r>
      <w:r>
        <w:rPr>
          <w:spacing w:val="-18"/>
        </w:rPr>
        <w:t> </w:t>
      </w:r>
      <w:r>
        <w:rPr/>
        <w:t>potestativo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previa á impugnación en vía contencioso-administrativa e que se axustará na súa tramitación ao disposto na lexislación de procedemento administrativo común en materia de</w:t>
      </w:r>
      <w:r>
        <w:rPr>
          <w:spacing w:val="-6"/>
        </w:rPr>
        <w:t> </w:t>
      </w:r>
      <w:r>
        <w:rPr/>
        <w:t>recursos.</w:t>
      </w:r>
    </w:p>
    <w:p>
      <w:pPr>
        <w:spacing w:after="0"/>
        <w:jc w:val="both"/>
        <w:sectPr>
          <w:footerReference w:type="default" r:id="rId6"/>
          <w:pgSz w:w="11900" w:h="16850"/>
          <w:pgMar w:footer="1053" w:header="794" w:top="1820" w:bottom="1240" w:left="158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2"/>
        <w:spacing w:before="52"/>
      </w:pPr>
      <w:r>
        <w:rPr/>
        <w:t>Terceiro. Dereito de acceso á información pública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rPr>
          <w:i/>
          <w:sz w:val="23"/>
        </w:rPr>
      </w:pPr>
    </w:p>
    <w:p>
      <w:pPr>
        <w:pStyle w:val="BodyText"/>
        <w:ind w:left="121" w:right="108"/>
        <w:jc w:val="both"/>
      </w:pPr>
      <w:r>
        <w:rPr/>
        <w:t>O artigo 12 da Lei 19/2013, do 9 de decembro configura o dereito de acceso á información pública de forma ampla, sendo titulares do mesmo todas as persoas. A Lei 1/2016, do 18 de xaneiro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08"/>
        <w:jc w:val="both"/>
      </w:pPr>
      <w:r>
        <w:rPr/>
        <w:t>O artigo 68 da Lei 39/2015, do 1 de outubro establece que se a solicitude de iniciación non reúne os requisitos que sinala a lexislación específica aplicable, requirirase o interesado para que, nun prazo de dez días, emende a falta ou xunte os documentos preceptivos, con indicación de que, se así non o fixer, se terá por desistido da súa petición, logo da resolución que deberá ser ditada.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7"/>
        <w:jc w:val="both"/>
      </w:pPr>
      <w:r>
        <w:rPr/>
        <w:t>Neste expediente o 30 de novembro de 2017, se solicitou ao reclamante que acreditara a autenticidade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súa</w:t>
      </w:r>
      <w:r>
        <w:rPr>
          <w:spacing w:val="-11"/>
        </w:rPr>
        <w:t> </w:t>
      </w:r>
      <w:r>
        <w:rPr/>
        <w:t>vontade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tramitación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reclamación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calquera</w:t>
      </w:r>
      <w:r>
        <w:rPr>
          <w:spacing w:val="-8"/>
        </w:rPr>
        <w:t> </w:t>
      </w:r>
      <w:r>
        <w:rPr/>
        <w:t>medio</w:t>
      </w:r>
      <w:r>
        <w:rPr>
          <w:spacing w:val="-11"/>
        </w:rPr>
        <w:t> </w:t>
      </w:r>
      <w:r>
        <w:rPr/>
        <w:t>admitido en dereito, para o que se lle daba un prazo de dez</w:t>
      </w:r>
      <w:r>
        <w:rPr>
          <w:spacing w:val="-13"/>
        </w:rPr>
        <w:t> </w:t>
      </w:r>
      <w:r>
        <w:rPr/>
        <w:t>días.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 w:firstLine="55"/>
        <w:jc w:val="both"/>
      </w:pPr>
      <w:r>
        <w:rPr/>
        <w:t>A proposta de emenda e mellora da solicitude se dirixiu ao único enderezo (un correo electrónico) que o reclamante sinalara a efecto de notificacións na reclamación presentada ante o Consejo de Transparencia y Buen Gobierno.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9"/>
        <w:jc w:val="both"/>
      </w:pPr>
      <w:r>
        <w:rPr/>
        <w:t>Xa</w:t>
      </w:r>
      <w:r>
        <w:rPr>
          <w:spacing w:val="-6"/>
        </w:rPr>
        <w:t> </w:t>
      </w:r>
      <w:r>
        <w:rPr/>
        <w:t>qeu</w:t>
      </w:r>
      <w:r>
        <w:rPr>
          <w:spacing w:val="-5"/>
        </w:rPr>
        <w:t> </w:t>
      </w:r>
      <w:r>
        <w:rPr/>
        <w:t>logo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reclamante</w:t>
      </w:r>
      <w:r>
        <w:rPr>
          <w:spacing w:val="-6"/>
        </w:rPr>
        <w:t> </w:t>
      </w:r>
      <w:r>
        <w:rPr/>
        <w:t>non</w:t>
      </w:r>
      <w:r>
        <w:rPr>
          <w:spacing w:val="-8"/>
        </w:rPr>
        <w:t> </w:t>
      </w:r>
      <w:r>
        <w:rPr/>
        <w:t>acreditou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vontade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tramitar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reclamación</w:t>
      </w:r>
      <w:r>
        <w:rPr>
          <w:spacing w:val="-5"/>
        </w:rPr>
        <w:t> </w:t>
      </w:r>
      <w:r>
        <w:rPr/>
        <w:t>ante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Comisión da Transparencia.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/>
        <w:t>En conclusión, a Comisión da Transparencia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21"/>
        <w:jc w:val="both"/>
      </w:pPr>
      <w:r>
        <w:rPr/>
        <w:t>En atención aos anteriores antecedentes, fundamentos xurídicos, procede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>
          <w:b/>
        </w:rPr>
        <w:t>Único: </w:t>
      </w:r>
      <w:r>
        <w:rPr/>
        <w:t>Arquivar o expediente por desistencia e declarar concluso o procedemento.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8"/>
        <w:jc w:val="both"/>
      </w:pPr>
      <w:r>
        <w:rPr/>
        <w:t>Contra esta resolución, que pon fin á vía administrativa, unicamente cabe, en caso de desconformidade, interpoñer recurso contencioso-administrativo, no prazo de dous meses,</w:t>
      </w:r>
    </w:p>
    <w:p>
      <w:pPr>
        <w:spacing w:after="0"/>
        <w:jc w:val="both"/>
        <w:sectPr>
          <w:pgSz w:w="11900" w:h="16850"/>
          <w:pgMar w:header="794" w:footer="1053" w:top="1820" w:bottom="124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/>
        <w:t>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68" w:lineRule="auto"/>
        <w:ind w:left="121" w:right="4461"/>
      </w:pPr>
      <w:r>
        <w:rPr/>
        <w:t>Santiago de Compostela, 28 de febreiro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ind w:left="121"/>
        <w:jc w:val="both"/>
      </w:pPr>
      <w:r>
        <w:rPr/>
        <w:t>Milagros Otero Parga</w:t>
      </w:r>
    </w:p>
    <w:sectPr>
      <w:pgSz w:w="11900" w:h="16850"/>
      <w:pgMar w:header="794" w:footer="1053" w:top="1820" w:bottom="124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320007pt;margin-top:778.386597pt;width:10pt;height:15.3pt;mso-position-horizontal-relative:page;mso-position-vertical-relative:page;z-index:-43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104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21"/>
      <w:jc w:val="both"/>
      <w:outlineLvl w:val="2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2018-04-17T11:10:10Z</dcterms:created>
  <dcterms:modified xsi:type="dcterms:W3CDTF">2018-04-17T11:10:10Z</dcterms:modified>
</cp:coreProperties>
</file>